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C27243">
      <w:pPr>
        <w:pStyle w:val="16"/>
        <w:keepLines/>
        <w:tabs>
          <w:tab w:val="right" w:pos="10440"/>
          <w:tab w:val="right" w:pos="13323"/>
        </w:tabs>
        <w:spacing w:before="60" w:after="60"/>
        <w:ind w:left="482" w:hanging="482"/>
        <w:outlineLvl w:val="0"/>
        <w:rPr>
          <w:rFonts w:hint="default" w:eastAsia="宋体" w:cs="Arial"/>
          <w:b w:val="0"/>
          <w:sz w:val="24"/>
          <w:highlight w:val="none"/>
          <w:lang w:val="en-US" w:eastAsia="zh-CN"/>
        </w:rPr>
      </w:pPr>
      <w:bookmarkStart w:id="0" w:name="DocumentFor"/>
      <w:bookmarkEnd w:id="0"/>
      <w:bookmarkStart w:id="1" w:name="Title"/>
      <w:bookmarkEnd w:id="1"/>
      <w:r>
        <w:rPr>
          <w:rFonts w:cs="Arial"/>
          <w:sz w:val="24"/>
          <w:highlight w:val="none"/>
        </w:rPr>
        <w:t>3GPP TSG-RAN WG4 Meeting #</w:t>
      </w:r>
      <w:r>
        <w:rPr>
          <w:rFonts w:cs="Arial"/>
          <w:highlight w:val="none"/>
        </w:rPr>
        <w:t xml:space="preserve"> </w:t>
      </w:r>
      <w:r>
        <w:rPr>
          <w:rFonts w:cs="Arial"/>
          <w:sz w:val="24"/>
          <w:highlight w:val="none"/>
        </w:rPr>
        <w:t>1</w:t>
      </w:r>
      <w:r>
        <w:rPr>
          <w:rFonts w:hint="eastAsia" w:eastAsia="宋体" w:cs="Arial"/>
          <w:sz w:val="24"/>
          <w:highlight w:val="none"/>
          <w:lang w:val="en-US" w:eastAsia="zh-CN"/>
        </w:rPr>
        <w:t>15</w:t>
      </w:r>
      <w:r>
        <w:rPr>
          <w:rFonts w:cs="Arial"/>
          <w:sz w:val="24"/>
          <w:highlight w:val="none"/>
        </w:rPr>
        <w:tab/>
      </w:r>
      <w:r>
        <w:rPr>
          <w:rFonts w:cs="Arial"/>
          <w:sz w:val="24"/>
          <w:highlight w:val="none"/>
        </w:rPr>
        <w:tab/>
      </w:r>
      <w:r>
        <w:rPr>
          <w:rFonts w:hint="eastAsia" w:eastAsia="宋体" w:cs="Arial"/>
          <w:sz w:val="24"/>
          <w:highlight w:val="none"/>
          <w:lang w:val="en-US" w:eastAsia="zh-CN"/>
        </w:rPr>
        <w:t xml:space="preserve">  </w:t>
      </w:r>
      <w:r>
        <w:rPr>
          <w:rFonts w:hint="eastAsia" w:cs="Arial"/>
          <w:sz w:val="24"/>
          <w:highlight w:val="none"/>
        </w:rPr>
        <w:t>R4-250</w:t>
      </w:r>
      <w:r>
        <w:rPr>
          <w:rFonts w:hint="eastAsia" w:eastAsia="宋体" w:cs="Arial"/>
          <w:sz w:val="24"/>
          <w:highlight w:val="none"/>
          <w:lang w:val="en-US" w:eastAsia="zh-CN"/>
        </w:rPr>
        <w:t>6232</w:t>
      </w:r>
      <w:bookmarkStart w:id="2" w:name="_GoBack"/>
      <w:bookmarkEnd w:id="2"/>
    </w:p>
    <w:p w14:paraId="2F2099E9">
      <w:pPr>
        <w:pStyle w:val="16"/>
        <w:tabs>
          <w:tab w:val="right" w:pos="9781"/>
          <w:tab w:val="right" w:pos="13323"/>
        </w:tabs>
        <w:spacing w:before="60" w:after="60"/>
        <w:ind w:left="482" w:hanging="482"/>
        <w:outlineLvl w:val="0"/>
        <w:rPr>
          <w:rFonts w:hint="eastAsia" w:eastAsia="宋体" w:cs="Arial"/>
          <w:sz w:val="24"/>
          <w:highlight w:val="none"/>
          <w:lang w:val="en-US" w:eastAsia="zh-CN"/>
        </w:rPr>
      </w:pPr>
      <w:r>
        <w:rPr>
          <w:rFonts w:ascii="Arial" w:hAnsi="Arial" w:eastAsia="宋体" w:cs="Arial"/>
          <w:b/>
          <w:sz w:val="24"/>
          <w:szCs w:val="24"/>
          <w:lang w:eastAsia="zh-CN"/>
        </w:rPr>
        <w:t>Malta, MT,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May, 2025</w:t>
      </w:r>
    </w:p>
    <w:p w14:paraId="78C8D1A6">
      <w:pPr>
        <w:pStyle w:val="16"/>
        <w:tabs>
          <w:tab w:val="left" w:pos="1800"/>
          <w:tab w:val="clear" w:pos="4536"/>
        </w:tabs>
        <w:spacing w:after="60"/>
        <w:ind w:left="1800" w:hanging="1800"/>
        <w:jc w:val="both"/>
        <w:outlineLvl w:val="0"/>
        <w:rPr>
          <w:rFonts w:eastAsia="宋体"/>
          <w:sz w:val="24"/>
          <w:highlight w:val="none"/>
          <w:lang w:val="en-US" w:eastAsia="zh-CN"/>
        </w:rPr>
      </w:pPr>
      <w:r>
        <w:rPr>
          <w:sz w:val="24"/>
          <w:highlight w:val="none"/>
        </w:rPr>
        <w:t>Source:</w:t>
      </w:r>
      <w:r>
        <w:rPr>
          <w:sz w:val="24"/>
          <w:highlight w:val="none"/>
        </w:rPr>
        <w:tab/>
      </w:r>
      <w:r>
        <w:rPr>
          <w:rFonts w:eastAsia="宋体"/>
          <w:sz w:val="24"/>
          <w:highlight w:val="none"/>
          <w:lang w:val="en-US" w:eastAsia="zh-CN"/>
        </w:rPr>
        <w:t>ZTE Corporation</w:t>
      </w:r>
      <w:r>
        <w:rPr>
          <w:rFonts w:hint="eastAsia" w:cs="Arial"/>
          <w:sz w:val="24"/>
          <w:lang w:val="en-US" w:eastAsia="zh-CN"/>
        </w:rPr>
        <w:t>, Sanechips</w:t>
      </w:r>
    </w:p>
    <w:p w14:paraId="029B2C73">
      <w:pPr>
        <w:pStyle w:val="16"/>
        <w:tabs>
          <w:tab w:val="left" w:pos="1800"/>
          <w:tab w:val="right" w:pos="9298"/>
          <w:tab w:val="clear" w:pos="4536"/>
          <w:tab w:val="clear" w:pos="9072"/>
        </w:tabs>
        <w:spacing w:after="60"/>
        <w:ind w:left="1807" w:hanging="1801" w:hangingChars="750"/>
        <w:outlineLvl w:val="0"/>
        <w:rPr>
          <w:rFonts w:hint="default" w:eastAsia="宋体"/>
          <w:sz w:val="24"/>
          <w:highlight w:val="none"/>
          <w:lang w:val="en-US" w:eastAsia="zh-CN"/>
        </w:rPr>
      </w:pPr>
      <w:r>
        <w:rPr>
          <w:sz w:val="24"/>
          <w:highlight w:val="none"/>
        </w:rPr>
        <w:t>Title:</w:t>
      </w:r>
      <w:r>
        <w:rPr>
          <w:sz w:val="24"/>
          <w:highlight w:val="none"/>
        </w:rPr>
        <w:tab/>
      </w:r>
      <w:r>
        <w:rPr>
          <w:rFonts w:hint="eastAsia" w:eastAsia="宋体"/>
          <w:sz w:val="24"/>
          <w:highlight w:val="none"/>
          <w:lang w:val="en-US" w:eastAsia="zh-CN"/>
        </w:rPr>
        <w:t>Discussion on UE RF requirements for supporting new SDO band for LTE-based 5G Broadcast</w:t>
      </w:r>
    </w:p>
    <w:p w14:paraId="52528779">
      <w:pPr>
        <w:pStyle w:val="16"/>
        <w:tabs>
          <w:tab w:val="left" w:pos="1800"/>
          <w:tab w:val="left" w:pos="3825"/>
          <w:tab w:val="clear" w:pos="4536"/>
          <w:tab w:val="clear" w:pos="9072"/>
        </w:tabs>
        <w:spacing w:after="60"/>
        <w:jc w:val="both"/>
        <w:outlineLvl w:val="0"/>
        <w:rPr>
          <w:rFonts w:hint="default" w:eastAsia="宋体"/>
          <w:sz w:val="24"/>
          <w:highlight w:val="none"/>
          <w:lang w:val="en-US" w:eastAsia="zh-CN"/>
        </w:rPr>
      </w:pPr>
      <w:r>
        <w:rPr>
          <w:sz w:val="24"/>
          <w:highlight w:val="none"/>
        </w:rPr>
        <w:t>Agenda Item:</w:t>
      </w:r>
      <w:r>
        <w:rPr>
          <w:sz w:val="24"/>
          <w:highlight w:val="none"/>
        </w:rPr>
        <w:tab/>
      </w:r>
      <w:r>
        <w:rPr>
          <w:rFonts w:hint="eastAsia" w:eastAsia="宋体"/>
          <w:sz w:val="24"/>
          <w:highlight w:val="none"/>
          <w:lang w:val="en-US" w:eastAsia="zh-CN"/>
        </w:rPr>
        <w:t>7.9.4</w:t>
      </w:r>
    </w:p>
    <w:p w14:paraId="67737D5F">
      <w:pPr>
        <w:pStyle w:val="16"/>
        <w:tabs>
          <w:tab w:val="left" w:pos="1800"/>
        </w:tabs>
        <w:snapToGrid w:val="0"/>
        <w:spacing w:after="240"/>
        <w:jc w:val="both"/>
        <w:outlineLvl w:val="0"/>
        <w:rPr>
          <w:rFonts w:hint="default" w:eastAsia="宋体"/>
          <w:sz w:val="24"/>
          <w:highlight w:val="none"/>
          <w:lang w:val="en-US" w:eastAsia="zh-CN"/>
        </w:rPr>
      </w:pPr>
      <w:r>
        <w:rPr>
          <w:sz w:val="24"/>
          <w:highlight w:val="none"/>
        </w:rPr>
        <w:t>Document for:</w:t>
      </w:r>
      <w:r>
        <w:rPr>
          <w:sz w:val="24"/>
          <w:highlight w:val="none"/>
        </w:rPr>
        <w:tab/>
      </w:r>
      <w:r>
        <w:rPr>
          <w:rFonts w:hint="eastAsia" w:eastAsia="宋体"/>
          <w:sz w:val="24"/>
          <w:highlight w:val="none"/>
          <w:lang w:val="en-US" w:eastAsia="zh-CN"/>
        </w:rPr>
        <w:t>Approval</w:t>
      </w:r>
    </w:p>
    <w:p w14:paraId="65BA6CC1">
      <w:pPr>
        <w:pStyle w:val="2"/>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120" w:after="120" w:line="240" w:lineRule="auto"/>
        <w:jc w:val="both"/>
        <w:textAlignment w:val="baseline"/>
        <w:rPr>
          <w:rFonts w:hint="eastAsia" w:eastAsia="宋体"/>
          <w:sz w:val="21"/>
          <w:szCs w:val="21"/>
          <w:highlight w:val="none"/>
          <w:lang w:val="en-US" w:eastAsia="zh-CN"/>
        </w:rPr>
      </w:pPr>
      <w:r>
        <w:rPr>
          <w:rFonts w:eastAsia="宋体"/>
          <w:highlight w:val="none"/>
          <w:lang w:eastAsia="zh-CN"/>
        </w:rPr>
        <w:t>Introduction</w:t>
      </w:r>
    </w:p>
    <w:p w14:paraId="08D09BFC">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jc w:val="both"/>
        <w:textAlignment w:val="baseline"/>
        <w:rPr>
          <w:rFonts w:hint="default"/>
          <w:i w:val="0"/>
          <w:iCs w:val="0"/>
          <w:sz w:val="20"/>
          <w:szCs w:val="20"/>
          <w:lang w:val="en-US" w:eastAsia="zh-CN"/>
        </w:rPr>
      </w:pPr>
      <w:r>
        <w:rPr>
          <w:rFonts w:hint="eastAsia"/>
          <w:i w:val="0"/>
          <w:iCs w:val="0"/>
          <w:sz w:val="20"/>
          <w:szCs w:val="20"/>
          <w:lang w:val="en-US" w:eastAsia="zh-CN"/>
        </w:rPr>
        <w:t>In</w:t>
      </w:r>
      <w:r>
        <w:rPr>
          <w:rFonts w:hint="default"/>
          <w:i w:val="0"/>
          <w:iCs w:val="0"/>
          <w:sz w:val="20"/>
          <w:szCs w:val="20"/>
          <w:lang w:val="en-US" w:eastAsia="zh-CN"/>
        </w:rPr>
        <w:t xml:space="preserve"> RAN#</w:t>
      </w:r>
      <w:r>
        <w:rPr>
          <w:rFonts w:hint="eastAsia"/>
          <w:i w:val="0"/>
          <w:iCs w:val="0"/>
          <w:sz w:val="20"/>
          <w:szCs w:val="20"/>
          <w:lang w:val="en-US" w:eastAsia="zh-CN"/>
        </w:rPr>
        <w:t>107</w:t>
      </w:r>
      <w:r>
        <w:rPr>
          <w:rFonts w:hint="default"/>
          <w:i w:val="0"/>
          <w:iCs w:val="0"/>
          <w:sz w:val="20"/>
          <w:szCs w:val="20"/>
          <w:lang w:val="en-US" w:eastAsia="zh-CN"/>
        </w:rPr>
        <w:t xml:space="preserve"> meeting, a</w:t>
      </w:r>
      <w:r>
        <w:rPr>
          <w:rFonts w:hint="eastAsia"/>
          <w:i w:val="0"/>
          <w:iCs w:val="0"/>
          <w:sz w:val="20"/>
          <w:szCs w:val="20"/>
          <w:lang w:val="en-US" w:eastAsia="zh-CN"/>
        </w:rPr>
        <w:t xml:space="preserve"> new</w:t>
      </w:r>
      <w:r>
        <w:rPr>
          <w:rFonts w:hint="default"/>
          <w:i w:val="0"/>
          <w:iCs w:val="0"/>
          <w:sz w:val="20"/>
          <w:szCs w:val="20"/>
          <w:lang w:val="en-US" w:eastAsia="zh-CN"/>
        </w:rPr>
        <w:t xml:space="preserve"> Work Item [1] </w:t>
      </w:r>
      <w:r>
        <w:rPr>
          <w:rFonts w:hint="eastAsia"/>
          <w:i w:val="0"/>
          <w:iCs w:val="0"/>
          <w:sz w:val="20"/>
          <w:szCs w:val="20"/>
          <w:lang w:val="en-US" w:eastAsia="zh-CN"/>
        </w:rPr>
        <w:t>was</w:t>
      </w:r>
      <w:r>
        <w:rPr>
          <w:rFonts w:hint="default"/>
          <w:i w:val="0"/>
          <w:iCs w:val="0"/>
          <w:sz w:val="20"/>
          <w:szCs w:val="20"/>
          <w:lang w:val="en-US" w:eastAsia="zh-CN"/>
        </w:rPr>
        <w:t xml:space="preserve"> approved on </w:t>
      </w:r>
      <w:r>
        <w:rPr>
          <w:rFonts w:hint="eastAsia"/>
          <w:i w:val="0"/>
          <w:iCs w:val="0"/>
          <w:sz w:val="20"/>
          <w:szCs w:val="20"/>
          <w:lang w:val="en-US" w:eastAsia="zh-CN"/>
        </w:rPr>
        <w:t>introduction of NTN broadcast band with the following RAN4 objective</w:t>
      </w:r>
      <w:r>
        <w:rPr>
          <w:rFonts w:hint="default"/>
          <w:i w:val="0"/>
          <w:iCs w:val="0"/>
          <w:sz w:val="20"/>
          <w:szCs w:val="20"/>
          <w:lang w:val="en-US" w:eastAsia="zh-CN"/>
        </w:rPr>
        <w:t>. In this contribution, we want to share some</w:t>
      </w:r>
      <w:r>
        <w:rPr>
          <w:rFonts w:hint="eastAsia"/>
          <w:i w:val="0"/>
          <w:iCs w:val="0"/>
          <w:sz w:val="20"/>
          <w:szCs w:val="20"/>
          <w:lang w:val="en-US" w:eastAsia="zh-CN"/>
        </w:rPr>
        <w:t xml:space="preserve"> further</w:t>
      </w:r>
      <w:r>
        <w:rPr>
          <w:rFonts w:hint="default"/>
          <w:i w:val="0"/>
          <w:iCs w:val="0"/>
          <w:sz w:val="20"/>
          <w:szCs w:val="20"/>
          <w:lang w:val="en-US" w:eastAsia="zh-CN"/>
        </w:rPr>
        <w:t xml:space="preserve"> views </w:t>
      </w:r>
      <w:r>
        <w:rPr>
          <w:rFonts w:hint="eastAsia"/>
          <w:i w:val="0"/>
          <w:iCs w:val="0"/>
          <w:sz w:val="20"/>
          <w:szCs w:val="20"/>
          <w:lang w:val="en-US" w:eastAsia="zh-CN"/>
        </w:rPr>
        <w:t xml:space="preserve">about NTN broadcast band </w:t>
      </w:r>
      <w:r>
        <w:rPr>
          <w:rFonts w:hint="default"/>
          <w:i w:val="0"/>
          <w:iCs w:val="0"/>
          <w:sz w:val="20"/>
          <w:szCs w:val="20"/>
          <w:lang w:val="en-US" w:eastAsia="zh-CN"/>
        </w:rPr>
        <w:t xml:space="preserve">from </w:t>
      </w:r>
      <w:r>
        <w:rPr>
          <w:rFonts w:hint="eastAsia"/>
          <w:i w:val="0"/>
          <w:iCs w:val="0"/>
          <w:sz w:val="20"/>
          <w:szCs w:val="20"/>
          <w:lang w:val="en-US" w:eastAsia="zh-CN"/>
        </w:rPr>
        <w:t>UE RF</w:t>
      </w:r>
      <w:r>
        <w:rPr>
          <w:rFonts w:hint="default"/>
          <w:i w:val="0"/>
          <w:iCs w:val="0"/>
          <w:sz w:val="20"/>
          <w:szCs w:val="20"/>
          <w:lang w:val="en-US" w:eastAsia="zh-CN"/>
        </w:rPr>
        <w:t xml:space="preserve"> perspective.</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47557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4C8D4B8A">
            <w:pPr>
              <w:spacing w:after="0"/>
              <w:rPr>
                <w:bCs/>
                <w:lang w:val="en-US"/>
              </w:rPr>
            </w:pPr>
            <w:r>
              <w:rPr>
                <w:bCs/>
                <w:lang w:val="en-US"/>
              </w:rPr>
              <w:t xml:space="preserve">Specify </w:t>
            </w:r>
            <w:r>
              <w:rPr>
                <w:rFonts w:eastAsia="Yu Mincho"/>
                <w:bCs/>
                <w:lang w:val="en-US" w:eastAsia="ja-JP"/>
              </w:rPr>
              <w:t>a</w:t>
            </w:r>
            <w:r>
              <w:rPr>
                <w:rFonts w:hint="eastAsia" w:eastAsia="Yu Mincho"/>
                <w:bCs/>
                <w:lang w:val="en-US" w:eastAsia="ja-JP"/>
              </w:rPr>
              <w:t xml:space="preserve"> </w:t>
            </w:r>
            <w:r>
              <w:rPr>
                <w:bCs/>
                <w:lang w:val="en-US"/>
              </w:rPr>
              <w:t xml:space="preserve">new SDO band for LTE-based 5G Broadcast operating in </w:t>
            </w:r>
            <w:r>
              <w:rPr>
                <w:rFonts w:hint="eastAsia"/>
                <w:bCs/>
                <w:lang w:val="en-US" w:eastAsia="zh-CN"/>
              </w:rPr>
              <w:t xml:space="preserve">1467 </w:t>
            </w:r>
            <w:r>
              <w:rPr>
                <w:bCs/>
                <w:lang w:val="en-US"/>
              </w:rPr>
              <w:t xml:space="preserve">to </w:t>
            </w:r>
            <w:r>
              <w:rPr>
                <w:rFonts w:hint="eastAsia"/>
                <w:bCs/>
                <w:lang w:val="en-US" w:eastAsia="zh-CN"/>
              </w:rPr>
              <w:t>1492</w:t>
            </w:r>
            <w:r>
              <w:rPr>
                <w:bCs/>
                <w:lang w:val="en-US"/>
              </w:rPr>
              <w:t xml:space="preserve"> MHz</w:t>
            </w:r>
            <w:r>
              <w:rPr>
                <w:rFonts w:hint="eastAsia"/>
                <w:bCs/>
                <w:lang w:val="en-US" w:eastAsia="zh-CN"/>
              </w:rPr>
              <w:t xml:space="preserve"> </w:t>
            </w:r>
            <w:r>
              <w:rPr>
                <w:bCs/>
                <w:lang w:val="en-US" w:eastAsia="zh-CN"/>
              </w:rPr>
              <w:t xml:space="preserve">in Region 3 </w:t>
            </w:r>
            <w:r>
              <w:rPr>
                <w:rFonts w:hint="eastAsia"/>
                <w:bCs/>
                <w:lang w:val="en-US" w:eastAsia="zh-CN"/>
              </w:rPr>
              <w:t>for GSO</w:t>
            </w:r>
            <w:r>
              <w:rPr>
                <w:bCs/>
                <w:lang w:val="en-US"/>
              </w:rPr>
              <w:t>:</w:t>
            </w:r>
          </w:p>
          <w:p w14:paraId="22EBE559">
            <w:pPr>
              <w:numPr>
                <w:ilvl w:val="1"/>
                <w:numId w:val="4"/>
              </w:numPr>
              <w:spacing w:after="0"/>
              <w:rPr>
                <w:bCs/>
                <w:lang w:val="en-US"/>
              </w:rPr>
            </w:pPr>
            <w:r>
              <w:rPr>
                <w:bCs/>
                <w:lang w:val="en-US"/>
              </w:rPr>
              <w:t xml:space="preserve">Specify related UE RF core requirements for </w:t>
            </w:r>
            <w:r>
              <w:rPr>
                <w:bCs/>
              </w:rPr>
              <w:t>10MHz</w:t>
            </w:r>
            <w:r>
              <w:rPr>
                <w:bCs/>
                <w:lang w:val="en-US"/>
              </w:rPr>
              <w:t xml:space="preserve"> PMCH</w:t>
            </w:r>
          </w:p>
          <w:p w14:paraId="3BEC5F41">
            <w:pPr>
              <w:numPr>
                <w:ilvl w:val="2"/>
                <w:numId w:val="4"/>
              </w:numPr>
              <w:spacing w:after="0"/>
              <w:rPr>
                <w:iCs/>
              </w:rPr>
            </w:pPr>
            <w:r>
              <w:rPr>
                <w:rFonts w:hint="eastAsia"/>
                <w:iCs/>
              </w:rPr>
              <w:t xml:space="preserve">UE requirements </w:t>
            </w:r>
            <w:r>
              <w:rPr>
                <w:rFonts w:hint="eastAsia"/>
                <w:iCs/>
                <w:lang w:eastAsia="zh-CN"/>
              </w:rPr>
              <w:t xml:space="preserve">specified in TS 36.101 for </w:t>
            </w:r>
            <w:r>
              <w:rPr>
                <w:bCs/>
                <w:lang w:val="en-US"/>
              </w:rPr>
              <w:t>LTE-based 5G Broadcast</w:t>
            </w:r>
            <w:r>
              <w:rPr>
                <w:rFonts w:hint="eastAsia"/>
                <w:bCs/>
                <w:lang w:val="en-US" w:eastAsia="zh-CN"/>
              </w:rPr>
              <w:t xml:space="preserve"> shall be considered as  baseline (</w:t>
            </w:r>
            <w:r>
              <w:rPr>
                <w:rFonts w:hint="eastAsia"/>
                <w:bCs/>
                <w:lang w:eastAsia="zh-CN"/>
              </w:rPr>
              <w:t>reuse assumption of 10 MHz UE Rx filter</w:t>
            </w:r>
            <w:r>
              <w:rPr>
                <w:rFonts w:hint="eastAsia"/>
                <w:bCs/>
                <w:lang w:val="en-US" w:eastAsia="zh-CN"/>
              </w:rPr>
              <w:t>)</w:t>
            </w:r>
          </w:p>
          <w:p w14:paraId="225A8EF6">
            <w:pPr>
              <w:numPr>
                <w:ilvl w:val="1"/>
                <w:numId w:val="4"/>
              </w:numPr>
              <w:spacing w:after="0"/>
              <w:rPr>
                <w:bCs/>
                <w:lang w:val="en-US"/>
              </w:rPr>
            </w:pPr>
            <w:r>
              <w:rPr>
                <w:bCs/>
                <w:lang w:val="en-US"/>
              </w:rPr>
              <w:t xml:space="preserve">Specify related </w:t>
            </w:r>
            <w:r>
              <w:rPr>
                <w:rFonts w:hint="eastAsia" w:eastAsia="Yu Mincho"/>
                <w:bCs/>
                <w:lang w:val="en-US" w:eastAsia="ja-JP"/>
              </w:rPr>
              <w:t xml:space="preserve">SAN </w:t>
            </w:r>
            <w:r>
              <w:rPr>
                <w:bCs/>
                <w:lang w:val="en-US"/>
              </w:rPr>
              <w:t>RF core requirements for 10</w:t>
            </w:r>
            <w:r>
              <w:rPr>
                <w:rFonts w:hint="eastAsia"/>
                <w:bCs/>
                <w:lang w:val="en-US"/>
              </w:rPr>
              <w:t xml:space="preserve"> </w:t>
            </w:r>
            <w:r>
              <w:rPr>
                <w:bCs/>
                <w:lang w:val="en-US"/>
              </w:rPr>
              <w:t>MHz PMCH</w:t>
            </w:r>
            <w:r>
              <w:rPr>
                <w:rFonts w:hint="eastAsia" w:eastAsia="Yu Mincho"/>
                <w:bCs/>
                <w:lang w:val="en-US" w:eastAsia="ja-JP"/>
              </w:rPr>
              <w:t xml:space="preserve"> considering also applicable regulatory requirements:</w:t>
            </w:r>
          </w:p>
          <w:p w14:paraId="06C4A261">
            <w:pPr>
              <w:numPr>
                <w:ilvl w:val="2"/>
                <w:numId w:val="4"/>
              </w:numPr>
              <w:spacing w:after="0"/>
              <w:rPr>
                <w:iCs/>
              </w:rPr>
            </w:pPr>
            <w:r>
              <w:rPr>
                <w:rFonts w:hint="eastAsia" w:eastAsia="Yu Mincho"/>
                <w:iCs/>
                <w:lang w:eastAsia="ja-JP"/>
              </w:rPr>
              <w:t xml:space="preserve">Take existing </w:t>
            </w:r>
            <w:r>
              <w:rPr>
                <w:iCs/>
              </w:rPr>
              <w:t xml:space="preserve">SAN </w:t>
            </w:r>
            <w:r>
              <w:rPr>
                <w:rFonts w:hint="eastAsia" w:eastAsia="Yu Mincho"/>
                <w:iCs/>
                <w:lang w:eastAsia="ja-JP"/>
              </w:rPr>
              <w:t xml:space="preserve">RF </w:t>
            </w:r>
            <w:r>
              <w:rPr>
                <w:iCs/>
              </w:rPr>
              <w:t>requirements specified in TS 3</w:t>
            </w:r>
            <w:r>
              <w:rPr>
                <w:rFonts w:hint="eastAsia" w:eastAsia="Yu Mincho"/>
                <w:iCs/>
                <w:lang w:eastAsia="ja-JP"/>
              </w:rPr>
              <w:t>8</w:t>
            </w:r>
            <w:r>
              <w:rPr>
                <w:iCs/>
              </w:rPr>
              <w:t xml:space="preserve">.108 </w:t>
            </w:r>
            <w:r>
              <w:rPr>
                <w:rFonts w:hint="eastAsia" w:eastAsia="Yu Mincho"/>
                <w:iCs/>
                <w:lang w:eastAsia="ja-JP"/>
              </w:rPr>
              <w:t xml:space="preserve">for 10MHz </w:t>
            </w:r>
            <w:r>
              <w:rPr>
                <w:rFonts w:hint="eastAsia"/>
                <w:iCs/>
                <w:lang w:eastAsia="zh-CN"/>
              </w:rPr>
              <w:t>as</w:t>
            </w:r>
            <w:r>
              <w:rPr>
                <w:iCs/>
              </w:rPr>
              <w:t xml:space="preserve"> baseline</w:t>
            </w:r>
            <w:r>
              <w:rPr>
                <w:rFonts w:hint="eastAsia"/>
                <w:iCs/>
              </w:rPr>
              <w:t xml:space="preserve"> </w:t>
            </w:r>
          </w:p>
          <w:p w14:paraId="53581E79">
            <w:pPr>
              <w:numPr>
                <w:ilvl w:val="2"/>
                <w:numId w:val="4"/>
              </w:numPr>
              <w:spacing w:after="0"/>
              <w:rPr>
                <w:iCs/>
              </w:rPr>
            </w:pPr>
            <w:r>
              <w:rPr>
                <w:rFonts w:hint="eastAsia" w:eastAsia="Yu Mincho"/>
                <w:iCs/>
                <w:lang w:eastAsia="ja-JP"/>
              </w:rPr>
              <w:t xml:space="preserve">Requirements based on </w:t>
            </w:r>
            <w:r>
              <w:rPr>
                <w:iCs/>
              </w:rPr>
              <w:t xml:space="preserve">Resolution 761 </w:t>
            </w:r>
            <w:r>
              <w:rPr>
                <w:rFonts w:hint="eastAsia" w:eastAsia="Yu Mincho"/>
                <w:iCs/>
                <w:lang w:eastAsia="ja-JP"/>
              </w:rPr>
              <w:t xml:space="preserve">in </w:t>
            </w:r>
            <w:r>
              <w:rPr>
                <w:iCs/>
              </w:rPr>
              <w:t>WRC-19</w:t>
            </w:r>
          </w:p>
          <w:p w14:paraId="160A8792">
            <w:pPr>
              <w:numPr>
                <w:ilvl w:val="2"/>
                <w:numId w:val="4"/>
              </w:numPr>
              <w:spacing w:after="0"/>
              <w:rPr>
                <w:iCs/>
              </w:rPr>
            </w:pPr>
            <w:r>
              <w:rPr>
                <w:rFonts w:hint="eastAsia"/>
                <w:iCs/>
                <w:lang w:eastAsia="zh-CN"/>
              </w:rPr>
              <w:t xml:space="preserve">Only consider </w:t>
            </w:r>
            <w:r>
              <w:rPr>
                <w:iCs/>
              </w:rPr>
              <w:t>QPSK and 16QAM</w:t>
            </w:r>
            <w:r>
              <w:rPr>
                <w:rFonts w:hint="eastAsia" w:eastAsia="Yu Mincho"/>
                <w:iCs/>
                <w:lang w:eastAsia="ja-JP"/>
              </w:rPr>
              <w:t xml:space="preserve"> modulation</w:t>
            </w:r>
          </w:p>
          <w:p w14:paraId="0307D795">
            <w:pPr>
              <w:spacing w:after="0"/>
              <w:rPr>
                <w:rFonts w:eastAsia="Yu Mincho"/>
                <w:iCs/>
                <w:lang w:eastAsia="ja-JP"/>
              </w:rPr>
            </w:pPr>
          </w:p>
          <w:p w14:paraId="1AC36FDB">
            <w:pPr>
              <w:spacing w:after="0"/>
              <w:rPr>
                <w:rFonts w:eastAsia="Yu Mincho"/>
                <w:iCs/>
                <w:lang w:eastAsia="ja-JP"/>
              </w:rPr>
            </w:pPr>
            <w:r>
              <w:rPr>
                <w:rFonts w:hint="eastAsia"/>
                <w:iCs/>
                <w:lang w:eastAsia="zh-CN"/>
              </w:rPr>
              <w:t>Note: UE only needs to support 5G broadcast</w:t>
            </w:r>
            <w:r>
              <w:rPr>
                <w:rFonts w:hint="eastAsia" w:eastAsia="Yu Mincho"/>
                <w:iCs/>
                <w:lang w:eastAsia="ja-JP"/>
              </w:rPr>
              <w:t xml:space="preserve"> for this band</w:t>
            </w:r>
          </w:p>
          <w:p w14:paraId="68A10C05">
            <w:pPr>
              <w:tabs>
                <w:tab w:val="left" w:pos="6163"/>
              </w:tabs>
              <w:spacing w:after="0"/>
              <w:rPr>
                <w:rFonts w:eastAsia="Yu Mincho"/>
                <w:iCs/>
                <w:lang w:eastAsia="ja-JP"/>
              </w:rPr>
            </w:pPr>
            <w:r>
              <w:rPr>
                <w:rFonts w:hint="eastAsia" w:eastAsia="Yu Mincho"/>
                <w:iCs/>
                <w:lang w:eastAsia="ja-JP"/>
              </w:rPr>
              <w:t xml:space="preserve">Note: Release independence applicability will be </w:t>
            </w:r>
            <w:r>
              <w:rPr>
                <w:rFonts w:eastAsia="Yu Mincho"/>
                <w:iCs/>
                <w:lang w:eastAsia="ja-JP"/>
              </w:rPr>
              <w:t>further</w:t>
            </w:r>
            <w:r>
              <w:rPr>
                <w:rFonts w:hint="eastAsia" w:eastAsia="Yu Mincho"/>
                <w:iCs/>
                <w:lang w:eastAsia="ja-JP"/>
              </w:rPr>
              <w:t xml:space="preserve"> discussed</w:t>
            </w:r>
          </w:p>
          <w:p w14:paraId="74E4A170">
            <w:pPr>
              <w:widowControl w:val="0"/>
              <w:overflowPunct/>
              <w:autoSpaceDE/>
              <w:autoSpaceDN/>
              <w:adjustRightInd/>
              <w:spacing w:after="0"/>
              <w:textAlignment w:val="auto"/>
              <w:rPr>
                <w:rFonts w:hint="eastAsia" w:eastAsia="宋体"/>
                <w:vertAlign w:val="baseline"/>
                <w:lang w:val="en-US" w:eastAsia="zh-CN"/>
              </w:rPr>
            </w:pPr>
          </w:p>
        </w:tc>
      </w:tr>
    </w:tbl>
    <w:p w14:paraId="1E935420">
      <w:pPr>
        <w:pStyle w:val="2"/>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120" w:after="120" w:line="240" w:lineRule="auto"/>
        <w:jc w:val="both"/>
        <w:textAlignment w:val="baseline"/>
        <w:rPr>
          <w:rFonts w:hint="eastAsia"/>
          <w:highlight w:val="none"/>
          <w:lang w:val="en-US" w:eastAsia="zh-CN"/>
        </w:rPr>
      </w:pPr>
      <w:r>
        <w:rPr>
          <w:rFonts w:hint="eastAsia" w:eastAsia="宋体"/>
          <w:highlight w:val="none"/>
          <w:lang w:eastAsia="zh-CN"/>
        </w:rPr>
        <w:t>Discussion</w:t>
      </w:r>
    </w:p>
    <w:p w14:paraId="4B6FA671">
      <w:pPr>
        <w:pStyle w:val="3"/>
        <w:bidi w:val="0"/>
        <w:rPr>
          <w:rFonts w:hint="eastAsia"/>
          <w:lang w:val="en-US" w:eastAsia="zh-CN"/>
        </w:rPr>
      </w:pPr>
      <w:r>
        <w:rPr>
          <w:rFonts w:hint="eastAsia"/>
          <w:lang w:val="en-US" w:eastAsia="zh-CN"/>
        </w:rPr>
        <w:t>2.1 Out-of-band blocking</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18219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00414AD9">
            <w:pPr>
              <w:rPr>
                <w:b/>
                <w:szCs w:val="20"/>
                <w:u w:val="single"/>
                <w:lang w:eastAsia="zh-CN"/>
              </w:rPr>
            </w:pPr>
            <w:r>
              <w:rPr>
                <w:b/>
                <w:szCs w:val="20"/>
                <w:u w:val="single"/>
                <w:lang w:eastAsia="ko-KR"/>
              </w:rPr>
              <w:t xml:space="preserve">Issue </w:t>
            </w:r>
            <w:r>
              <w:rPr>
                <w:rFonts w:hint="eastAsia"/>
                <w:b/>
                <w:szCs w:val="20"/>
                <w:u w:val="single"/>
                <w:lang w:eastAsia="zh-CN"/>
              </w:rPr>
              <w:t>3</w:t>
            </w:r>
            <w:r>
              <w:rPr>
                <w:b/>
                <w:szCs w:val="20"/>
                <w:u w:val="single"/>
                <w:lang w:eastAsia="ko-KR"/>
              </w:rPr>
              <w:t>-</w:t>
            </w:r>
            <w:r>
              <w:rPr>
                <w:rFonts w:hint="eastAsia"/>
                <w:b/>
                <w:szCs w:val="20"/>
                <w:u w:val="single"/>
                <w:lang w:eastAsia="zh-CN"/>
              </w:rPr>
              <w:t>1-5</w:t>
            </w:r>
            <w:r>
              <w:rPr>
                <w:b/>
                <w:szCs w:val="20"/>
                <w:u w:val="single"/>
                <w:lang w:eastAsia="ko-KR"/>
              </w:rPr>
              <w:t xml:space="preserve">: </w:t>
            </w:r>
            <w:r>
              <w:rPr>
                <w:rFonts w:hint="eastAsia"/>
                <w:b/>
                <w:szCs w:val="20"/>
                <w:u w:val="single"/>
                <w:lang w:eastAsia="zh-CN"/>
              </w:rPr>
              <w:t>Out-of-band blocking</w:t>
            </w:r>
          </w:p>
          <w:p w14:paraId="3E0B5E6D">
            <w:pPr>
              <w:pStyle w:val="32"/>
              <w:numPr>
                <w:ilvl w:val="0"/>
                <w:numId w:val="5"/>
              </w:numPr>
              <w:overflowPunct/>
              <w:autoSpaceDE/>
              <w:autoSpaceDN/>
              <w:adjustRightInd/>
              <w:spacing w:after="120"/>
              <w:ind w:left="720" w:firstLineChars="0"/>
              <w:textAlignment w:val="auto"/>
              <w:rPr>
                <w:rFonts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Agreement:</w:t>
            </w:r>
          </w:p>
          <w:p w14:paraId="42D6E96B">
            <w:pPr>
              <w:pStyle w:val="32"/>
              <w:numPr>
                <w:ilvl w:val="1"/>
                <w:numId w:val="5"/>
              </w:numPr>
              <w:overflowPunct/>
              <w:autoSpaceDE/>
              <w:autoSpaceDN/>
              <w:adjustRightInd/>
              <w:spacing w:after="120"/>
              <w:ind w:left="1440" w:firstLineChars="0"/>
              <w:textAlignment w:val="auto"/>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 xml:space="preserve">Add a new chapter </w:t>
            </w:r>
            <w:r>
              <w:rPr>
                <w:rFonts w:hint="default" w:ascii="Times New Roman" w:hAnsi="Times New Roman" w:eastAsia="宋体" w:cs="Times New Roman"/>
                <w:sz w:val="20"/>
                <w:szCs w:val="20"/>
                <w:lang w:eastAsia="zh-CN"/>
              </w:rPr>
              <w:t>7.6C.3 for out-of-band blocking</w:t>
            </w:r>
          </w:p>
          <w:p w14:paraId="6CB3E363">
            <w:pPr>
              <w:pStyle w:val="32"/>
              <w:numPr>
                <w:ilvl w:val="1"/>
                <w:numId w:val="5"/>
              </w:numPr>
              <w:overflowPunct/>
              <w:autoSpaceDE/>
              <w:autoSpaceDN/>
              <w:adjustRightInd/>
              <w:spacing w:after="120"/>
              <w:ind w:left="1440" w:firstLineChars="0"/>
              <w:textAlignment w:val="auto"/>
              <w:rPr>
                <w:rFonts w:ascii="Times New Roman" w:hAnsi="Times New Roman" w:cs="Times New Roman"/>
                <w:sz w:val="20"/>
                <w:szCs w:val="20"/>
              </w:rPr>
            </w:pPr>
            <w:r>
              <w:rPr>
                <w:rFonts w:hint="default" w:ascii="Times New Roman" w:hAnsi="Times New Roman" w:eastAsia="宋体" w:cs="Times New Roman"/>
                <w:sz w:val="20"/>
                <w:szCs w:val="20"/>
                <w:lang w:eastAsia="zh-CN"/>
              </w:rPr>
              <w:t>To</w:t>
            </w:r>
            <w:r>
              <w:rPr>
                <w:rFonts w:ascii="Times New Roman" w:hAnsi="Times New Roman" w:eastAsia="宋体" w:cs="Times New Roman"/>
                <w:sz w:val="20"/>
                <w:szCs w:val="20"/>
                <w:lang w:eastAsia="zh-CN"/>
              </w:rPr>
              <w:t xml:space="preserve"> specify </w:t>
            </w:r>
            <w:r>
              <w:rPr>
                <w:rFonts w:hint="default" w:ascii="Times New Roman" w:hAnsi="Times New Roman" w:eastAsia="宋体" w:cs="Times New Roman"/>
                <w:sz w:val="20"/>
                <w:szCs w:val="20"/>
                <w:lang w:eastAsia="zh-CN"/>
              </w:rPr>
              <w:t xml:space="preserve">out-of-band blocking for </w:t>
            </w:r>
            <w:r>
              <w:rPr>
                <w:rFonts w:ascii="Times New Roman" w:hAnsi="Times New Roman" w:eastAsia="宋体" w:cs="Times New Roman"/>
                <w:sz w:val="20"/>
                <w:szCs w:val="20"/>
                <w:lang w:eastAsia="zh-CN"/>
              </w:rPr>
              <w:t>10MHz PMCH for LTE based 5G broadcast utilizing satellite in TS 36.102 as following</w:t>
            </w:r>
            <w:r>
              <w:rPr>
                <w:rFonts w:hint="default" w:ascii="Times New Roman" w:hAnsi="Times New Roman" w:eastAsia="宋体" w:cs="Times New Roman"/>
                <w:sz w:val="20"/>
                <w:szCs w:val="20"/>
                <w:lang w:eastAsia="zh-CN"/>
              </w:rPr>
              <w:t xml:space="preserve"> tables.</w:t>
            </w:r>
          </w:p>
          <w:p w14:paraId="43ADC245">
            <w:pPr>
              <w:jc w:val="center"/>
              <w:rPr>
                <w:b/>
                <w:bCs/>
                <w:szCs w:val="20"/>
              </w:rPr>
            </w:pPr>
            <w:r>
              <w:rPr>
                <w:b/>
                <w:bCs/>
                <w:szCs w:val="20"/>
              </w:rPr>
              <w:t>Table 7.6</w:t>
            </w:r>
            <w:r>
              <w:rPr>
                <w:rFonts w:hint="eastAsia" w:eastAsiaTheme="minorEastAsia"/>
                <w:b/>
                <w:bCs/>
                <w:szCs w:val="20"/>
                <w:lang w:eastAsia="zh-CN"/>
              </w:rPr>
              <w:t>C</w:t>
            </w:r>
            <w:r>
              <w:rPr>
                <w:b/>
                <w:bCs/>
                <w:szCs w:val="20"/>
              </w:rPr>
              <w:t>.</w:t>
            </w:r>
            <w:r>
              <w:rPr>
                <w:rFonts w:hint="eastAsia" w:eastAsiaTheme="minorEastAsia"/>
                <w:b/>
                <w:bCs/>
                <w:szCs w:val="20"/>
                <w:lang w:eastAsia="zh-CN"/>
              </w:rPr>
              <w:t>3</w:t>
            </w:r>
            <w:r>
              <w:rPr>
                <w:b/>
                <w:bCs/>
                <w:szCs w:val="20"/>
              </w:rPr>
              <w:t>-1: Out-of-band blocking parameters</w:t>
            </w:r>
          </w:p>
          <w:tbl>
            <w:tblPr>
              <w:tblStyle w:val="18"/>
              <w:tblW w:w="62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2"/>
              <w:gridCol w:w="716"/>
              <w:gridCol w:w="3911"/>
            </w:tblGrid>
            <w:tr w14:paraId="1F1DE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1672" w:type="dxa"/>
                  <w:vMerge w:val="restart"/>
                </w:tcPr>
                <w:p w14:paraId="65CBBD59">
                  <w:pPr>
                    <w:pStyle w:val="37"/>
                    <w:rPr>
                      <w:sz w:val="18"/>
                      <w:szCs w:val="18"/>
                    </w:rPr>
                  </w:pPr>
                  <w:r>
                    <w:rPr>
                      <w:sz w:val="18"/>
                      <w:szCs w:val="18"/>
                    </w:rPr>
                    <w:t>Rx Parameter</w:t>
                  </w:r>
                </w:p>
              </w:tc>
              <w:tc>
                <w:tcPr>
                  <w:tcW w:w="716" w:type="dxa"/>
                  <w:vMerge w:val="restart"/>
                </w:tcPr>
                <w:p w14:paraId="27755FB7">
                  <w:pPr>
                    <w:pStyle w:val="37"/>
                    <w:rPr>
                      <w:sz w:val="18"/>
                      <w:szCs w:val="18"/>
                    </w:rPr>
                  </w:pPr>
                  <w:r>
                    <w:rPr>
                      <w:sz w:val="18"/>
                      <w:szCs w:val="18"/>
                    </w:rPr>
                    <w:t xml:space="preserve">Units </w:t>
                  </w:r>
                </w:p>
              </w:tc>
              <w:tc>
                <w:tcPr>
                  <w:tcW w:w="3911" w:type="dxa"/>
                </w:tcPr>
                <w:p w14:paraId="1037190B">
                  <w:pPr>
                    <w:pStyle w:val="37"/>
                    <w:rPr>
                      <w:sz w:val="18"/>
                      <w:szCs w:val="18"/>
                    </w:rPr>
                  </w:pPr>
                  <w:r>
                    <w:rPr>
                      <w:sz w:val="18"/>
                      <w:szCs w:val="18"/>
                    </w:rPr>
                    <w:t>PMCH bandwidth</w:t>
                  </w:r>
                </w:p>
              </w:tc>
            </w:tr>
            <w:tr w14:paraId="3367E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1672" w:type="dxa"/>
                  <w:vMerge w:val="continue"/>
                </w:tcPr>
                <w:p w14:paraId="266FECA8">
                  <w:pPr>
                    <w:pStyle w:val="37"/>
                    <w:rPr>
                      <w:sz w:val="18"/>
                      <w:szCs w:val="18"/>
                    </w:rPr>
                  </w:pPr>
                </w:p>
              </w:tc>
              <w:tc>
                <w:tcPr>
                  <w:tcW w:w="716" w:type="dxa"/>
                  <w:vMerge w:val="continue"/>
                </w:tcPr>
                <w:p w14:paraId="7F24A812">
                  <w:pPr>
                    <w:pStyle w:val="37"/>
                    <w:rPr>
                      <w:sz w:val="18"/>
                      <w:szCs w:val="18"/>
                    </w:rPr>
                  </w:pPr>
                </w:p>
              </w:tc>
              <w:tc>
                <w:tcPr>
                  <w:tcW w:w="3911" w:type="dxa"/>
                </w:tcPr>
                <w:p w14:paraId="45691073">
                  <w:pPr>
                    <w:pStyle w:val="37"/>
                    <w:rPr>
                      <w:sz w:val="18"/>
                      <w:szCs w:val="18"/>
                    </w:rPr>
                  </w:pPr>
                  <w:r>
                    <w:rPr>
                      <w:rFonts w:hint="eastAsia" w:eastAsiaTheme="minorEastAsia"/>
                      <w:sz w:val="18"/>
                      <w:szCs w:val="18"/>
                      <w:lang w:eastAsia="zh-CN"/>
                    </w:rPr>
                    <w:t>10</w:t>
                  </w:r>
                  <w:r>
                    <w:rPr>
                      <w:sz w:val="18"/>
                      <w:szCs w:val="18"/>
                    </w:rPr>
                    <w:t xml:space="preserve"> MHz</w:t>
                  </w:r>
                </w:p>
              </w:tc>
            </w:tr>
            <w:tr w14:paraId="547F3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2" w:hRule="atLeast"/>
                <w:jc w:val="center"/>
              </w:trPr>
              <w:tc>
                <w:tcPr>
                  <w:tcW w:w="1672" w:type="dxa"/>
                  <w:vAlign w:val="center"/>
                </w:tcPr>
                <w:p w14:paraId="38396916">
                  <w:pPr>
                    <w:pStyle w:val="39"/>
                    <w:rPr>
                      <w:rFonts w:cs="Arial"/>
                      <w:b/>
                      <w:sz w:val="18"/>
                      <w:szCs w:val="18"/>
                    </w:rPr>
                  </w:pPr>
                  <w:r>
                    <w:rPr>
                      <w:rFonts w:cs="Arial"/>
                      <w:sz w:val="18"/>
                      <w:szCs w:val="18"/>
                    </w:rPr>
                    <w:t>Power in Transmission Bandwidth Configuration</w:t>
                  </w:r>
                </w:p>
              </w:tc>
              <w:tc>
                <w:tcPr>
                  <w:tcW w:w="716" w:type="dxa"/>
                  <w:vAlign w:val="center"/>
                </w:tcPr>
                <w:p w14:paraId="1390B527">
                  <w:pPr>
                    <w:pStyle w:val="38"/>
                    <w:rPr>
                      <w:b/>
                      <w:sz w:val="18"/>
                      <w:szCs w:val="18"/>
                    </w:rPr>
                  </w:pPr>
                  <w:r>
                    <w:rPr>
                      <w:sz w:val="18"/>
                      <w:szCs w:val="18"/>
                    </w:rPr>
                    <w:t>dBm</w:t>
                  </w:r>
                </w:p>
              </w:tc>
              <w:tc>
                <w:tcPr>
                  <w:tcW w:w="3911" w:type="dxa"/>
                  <w:vAlign w:val="center"/>
                </w:tcPr>
                <w:p w14:paraId="66A40C84">
                  <w:pPr>
                    <w:pStyle w:val="38"/>
                    <w:rPr>
                      <w:b/>
                      <w:sz w:val="18"/>
                      <w:szCs w:val="18"/>
                    </w:rPr>
                  </w:pPr>
                  <w:r>
                    <w:rPr>
                      <w:sz w:val="18"/>
                      <w:szCs w:val="18"/>
                    </w:rPr>
                    <w:t>REFSENS + 6</w:t>
                  </w:r>
                </w:p>
              </w:tc>
            </w:tr>
            <w:tr w14:paraId="18AA9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6299" w:type="dxa"/>
                  <w:gridSpan w:val="3"/>
                </w:tcPr>
                <w:p w14:paraId="79D13A8F">
                  <w:pPr>
                    <w:pStyle w:val="38"/>
                    <w:ind w:left="851" w:hanging="851"/>
                    <w:jc w:val="left"/>
                    <w:rPr>
                      <w:sz w:val="18"/>
                      <w:szCs w:val="18"/>
                    </w:rPr>
                  </w:pPr>
                  <w:r>
                    <w:rPr>
                      <w:sz w:val="18"/>
                      <w:szCs w:val="18"/>
                    </w:rPr>
                    <w:t>NOTE:</w:t>
                  </w:r>
                  <w:r>
                    <w:rPr>
                      <w:sz w:val="18"/>
                      <w:szCs w:val="18"/>
                    </w:rPr>
                    <w:tab/>
                  </w:r>
                  <w:r>
                    <w:rPr>
                      <w:sz w:val="18"/>
                      <w:szCs w:val="18"/>
                    </w:rPr>
                    <w:t>Reference measurement channel is specified in Annex A.</w:t>
                  </w:r>
                  <w:r>
                    <w:rPr>
                      <w:rFonts w:hint="eastAsia" w:eastAsiaTheme="minorEastAsia"/>
                      <w:sz w:val="18"/>
                      <w:szCs w:val="18"/>
                      <w:lang w:eastAsia="zh-CN"/>
                    </w:rPr>
                    <w:t>1</w:t>
                  </w:r>
                  <w:r>
                    <w:rPr>
                      <w:sz w:val="18"/>
                      <w:szCs w:val="18"/>
                    </w:rPr>
                    <w:t>.</w:t>
                  </w:r>
                  <w:r>
                    <w:rPr>
                      <w:rFonts w:hint="eastAsia" w:eastAsiaTheme="minorEastAsia"/>
                      <w:sz w:val="18"/>
                      <w:szCs w:val="18"/>
                      <w:lang w:eastAsia="zh-CN"/>
                    </w:rPr>
                    <w:t>3</w:t>
                  </w:r>
                  <w:r>
                    <w:rPr>
                      <w:sz w:val="18"/>
                      <w:szCs w:val="18"/>
                    </w:rPr>
                    <w:t>.</w:t>
                  </w:r>
                </w:p>
              </w:tc>
            </w:tr>
          </w:tbl>
          <w:p w14:paraId="2F14FF95">
            <w:pPr>
              <w:rPr>
                <w:szCs w:val="20"/>
                <w:lang w:eastAsia="zh-CN"/>
              </w:rPr>
            </w:pPr>
          </w:p>
          <w:p w14:paraId="6699361D">
            <w:pPr>
              <w:jc w:val="center"/>
              <w:rPr>
                <w:b/>
                <w:bCs/>
                <w:szCs w:val="20"/>
              </w:rPr>
            </w:pPr>
            <w:r>
              <w:rPr>
                <w:b/>
                <w:bCs/>
                <w:szCs w:val="20"/>
              </w:rPr>
              <w:t>Table 7.6</w:t>
            </w:r>
            <w:r>
              <w:rPr>
                <w:rFonts w:hint="eastAsia" w:eastAsiaTheme="minorEastAsia"/>
                <w:b/>
                <w:bCs/>
                <w:szCs w:val="20"/>
                <w:lang w:eastAsia="zh-CN"/>
              </w:rPr>
              <w:t>C</w:t>
            </w:r>
            <w:r>
              <w:rPr>
                <w:b/>
                <w:bCs/>
                <w:szCs w:val="20"/>
              </w:rPr>
              <w:t>.</w:t>
            </w:r>
            <w:r>
              <w:rPr>
                <w:rFonts w:hint="eastAsia" w:eastAsiaTheme="minorEastAsia"/>
                <w:b/>
                <w:bCs/>
                <w:szCs w:val="20"/>
                <w:lang w:eastAsia="zh-CN"/>
              </w:rPr>
              <w:t>3</w:t>
            </w:r>
            <w:r>
              <w:rPr>
                <w:b/>
                <w:bCs/>
                <w:szCs w:val="20"/>
              </w:rPr>
              <w:t>-2: Out of band blocking</w:t>
            </w:r>
          </w:p>
          <w:tbl>
            <w:tblPr>
              <w:tblStyle w:val="18"/>
              <w:tblW w:w="65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8"/>
              <w:gridCol w:w="987"/>
              <w:gridCol w:w="784"/>
              <w:gridCol w:w="1183"/>
              <w:gridCol w:w="1184"/>
              <w:gridCol w:w="1197"/>
            </w:tblGrid>
            <w:tr w14:paraId="6D48D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1258" w:type="dxa"/>
                  <w:vMerge w:val="restart"/>
                  <w:shd w:val="clear" w:color="auto" w:fill="auto"/>
                </w:tcPr>
                <w:p w14:paraId="2779D9C6">
                  <w:pPr>
                    <w:pStyle w:val="37"/>
                    <w:rPr>
                      <w:highlight w:val="none"/>
                    </w:rPr>
                  </w:pPr>
                  <w:r>
                    <w:rPr>
                      <w:highlight w:val="none"/>
                    </w:rPr>
                    <w:t>Operating band</w:t>
                  </w:r>
                </w:p>
              </w:tc>
              <w:tc>
                <w:tcPr>
                  <w:tcW w:w="987" w:type="dxa"/>
                  <w:vMerge w:val="restart"/>
                </w:tcPr>
                <w:p w14:paraId="2D2D4E24">
                  <w:pPr>
                    <w:pStyle w:val="37"/>
                    <w:rPr>
                      <w:highlight w:val="none"/>
                    </w:rPr>
                  </w:pPr>
                  <w:r>
                    <w:rPr>
                      <w:highlight w:val="none"/>
                    </w:rPr>
                    <w:t>1</w:t>
                  </w:r>
                </w:p>
              </w:tc>
              <w:tc>
                <w:tcPr>
                  <w:tcW w:w="784" w:type="dxa"/>
                  <w:vMerge w:val="restart"/>
                </w:tcPr>
                <w:p w14:paraId="64EF10D2">
                  <w:pPr>
                    <w:pStyle w:val="37"/>
                    <w:rPr>
                      <w:highlight w:val="none"/>
                    </w:rPr>
                  </w:pPr>
                  <w:r>
                    <w:rPr>
                      <w:highlight w:val="none"/>
                    </w:rPr>
                    <w:t xml:space="preserve">Units </w:t>
                  </w:r>
                </w:p>
              </w:tc>
              <w:tc>
                <w:tcPr>
                  <w:tcW w:w="3564" w:type="dxa"/>
                  <w:gridSpan w:val="3"/>
                </w:tcPr>
                <w:p w14:paraId="6C4C41B4">
                  <w:pPr>
                    <w:pStyle w:val="37"/>
                    <w:rPr>
                      <w:highlight w:val="none"/>
                    </w:rPr>
                  </w:pPr>
                  <w:r>
                    <w:rPr>
                      <w:highlight w:val="none"/>
                    </w:rPr>
                    <w:t xml:space="preserve">Frequency </w:t>
                  </w:r>
                </w:p>
              </w:tc>
            </w:tr>
            <w:tr w14:paraId="45728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jc w:val="center"/>
              </w:trPr>
              <w:tc>
                <w:tcPr>
                  <w:tcW w:w="1258" w:type="dxa"/>
                  <w:vMerge w:val="continue"/>
                  <w:shd w:val="clear" w:color="auto" w:fill="auto"/>
                </w:tcPr>
                <w:p w14:paraId="72E0703F">
                  <w:pPr>
                    <w:pStyle w:val="37"/>
                    <w:rPr>
                      <w:highlight w:val="none"/>
                    </w:rPr>
                  </w:pPr>
                </w:p>
              </w:tc>
              <w:tc>
                <w:tcPr>
                  <w:tcW w:w="987" w:type="dxa"/>
                  <w:vMerge w:val="continue"/>
                </w:tcPr>
                <w:p w14:paraId="34BACEB5">
                  <w:pPr>
                    <w:pStyle w:val="37"/>
                    <w:rPr>
                      <w:highlight w:val="none"/>
                    </w:rPr>
                  </w:pPr>
                </w:p>
              </w:tc>
              <w:tc>
                <w:tcPr>
                  <w:tcW w:w="784" w:type="dxa"/>
                  <w:vMerge w:val="continue"/>
                </w:tcPr>
                <w:p w14:paraId="4CDF05D6">
                  <w:pPr>
                    <w:pStyle w:val="37"/>
                    <w:rPr>
                      <w:highlight w:val="none"/>
                    </w:rPr>
                  </w:pPr>
                </w:p>
              </w:tc>
              <w:tc>
                <w:tcPr>
                  <w:tcW w:w="1183" w:type="dxa"/>
                </w:tcPr>
                <w:p w14:paraId="7B0A3A1E">
                  <w:pPr>
                    <w:pStyle w:val="37"/>
                    <w:rPr>
                      <w:highlight w:val="none"/>
                    </w:rPr>
                  </w:pPr>
                  <w:r>
                    <w:rPr>
                      <w:highlight w:val="none"/>
                    </w:rPr>
                    <w:t>Range 1</w:t>
                  </w:r>
                </w:p>
              </w:tc>
              <w:tc>
                <w:tcPr>
                  <w:tcW w:w="1184" w:type="dxa"/>
                </w:tcPr>
                <w:p w14:paraId="6973D29F">
                  <w:pPr>
                    <w:pStyle w:val="37"/>
                    <w:rPr>
                      <w:highlight w:val="none"/>
                    </w:rPr>
                  </w:pPr>
                  <w:r>
                    <w:rPr>
                      <w:highlight w:val="none"/>
                    </w:rPr>
                    <w:t>Range 2</w:t>
                  </w:r>
                </w:p>
              </w:tc>
              <w:tc>
                <w:tcPr>
                  <w:tcW w:w="1197" w:type="dxa"/>
                </w:tcPr>
                <w:p w14:paraId="77E77413">
                  <w:pPr>
                    <w:pStyle w:val="37"/>
                    <w:rPr>
                      <w:highlight w:val="none"/>
                    </w:rPr>
                  </w:pPr>
                  <w:r>
                    <w:rPr>
                      <w:highlight w:val="none"/>
                    </w:rPr>
                    <w:t>Range 3</w:t>
                  </w:r>
                </w:p>
              </w:tc>
            </w:tr>
            <w:tr w14:paraId="40AA8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jc w:val="center"/>
              </w:trPr>
              <w:tc>
                <w:tcPr>
                  <w:tcW w:w="1258" w:type="dxa"/>
                  <w:vMerge w:val="continue"/>
                  <w:shd w:val="clear" w:color="auto" w:fill="auto"/>
                </w:tcPr>
                <w:p w14:paraId="67B1B007">
                  <w:pPr>
                    <w:pStyle w:val="37"/>
                    <w:rPr>
                      <w:highlight w:val="none"/>
                    </w:rPr>
                  </w:pPr>
                </w:p>
              </w:tc>
              <w:tc>
                <w:tcPr>
                  <w:tcW w:w="987" w:type="dxa"/>
                  <w:vMerge w:val="restart"/>
                  <w:vAlign w:val="center"/>
                </w:tcPr>
                <w:p w14:paraId="4BB990D7">
                  <w:pPr>
                    <w:pStyle w:val="37"/>
                    <w:jc w:val="left"/>
                    <w:rPr>
                      <w:b w:val="0"/>
                      <w:bCs/>
                      <w:highlight w:val="none"/>
                    </w:rPr>
                  </w:pPr>
                  <w:r>
                    <w:rPr>
                      <w:b w:val="0"/>
                      <w:bCs/>
                      <w:highlight w:val="none"/>
                    </w:rPr>
                    <w:t>F</w:t>
                  </w:r>
                  <w:r>
                    <w:rPr>
                      <w:b w:val="0"/>
                      <w:bCs/>
                      <w:highlight w:val="none"/>
                      <w:vertAlign w:val="subscript"/>
                    </w:rPr>
                    <w:t xml:space="preserve">Interferer </w:t>
                  </w:r>
                  <w:r>
                    <w:rPr>
                      <w:b w:val="0"/>
                      <w:bCs/>
                      <w:highlight w:val="none"/>
                    </w:rPr>
                    <w:t>(CW)</w:t>
                  </w:r>
                </w:p>
              </w:tc>
              <w:tc>
                <w:tcPr>
                  <w:tcW w:w="784" w:type="dxa"/>
                  <w:vMerge w:val="restart"/>
                  <w:vAlign w:val="center"/>
                </w:tcPr>
                <w:p w14:paraId="7E238109">
                  <w:pPr>
                    <w:pStyle w:val="37"/>
                    <w:rPr>
                      <w:b w:val="0"/>
                      <w:bCs/>
                      <w:highlight w:val="none"/>
                    </w:rPr>
                  </w:pPr>
                  <w:r>
                    <w:rPr>
                      <w:b w:val="0"/>
                      <w:bCs/>
                      <w:highlight w:val="none"/>
                    </w:rPr>
                    <w:t>MHz</w:t>
                  </w:r>
                </w:p>
              </w:tc>
              <w:tc>
                <w:tcPr>
                  <w:tcW w:w="1183" w:type="dxa"/>
                  <w:vAlign w:val="center"/>
                </w:tcPr>
                <w:p w14:paraId="38C12ADD">
                  <w:pPr>
                    <w:pStyle w:val="38"/>
                    <w:rPr>
                      <w:highlight w:val="none"/>
                      <w:lang w:val="en-US"/>
                    </w:rPr>
                  </w:pPr>
                  <w:r>
                    <w:rPr>
                      <w:highlight w:val="none"/>
                      <w:lang w:val="en-US"/>
                    </w:rPr>
                    <w:t>F</w:t>
                  </w:r>
                  <w:r>
                    <w:rPr>
                      <w:highlight w:val="none"/>
                      <w:vertAlign w:val="subscript"/>
                      <w:lang w:val="en-US"/>
                    </w:rPr>
                    <w:t xml:space="preserve">DL_low </w:t>
                  </w:r>
                  <w:r>
                    <w:rPr>
                      <w:highlight w:val="none"/>
                      <w:lang w:val="en-US"/>
                    </w:rPr>
                    <w:t>-</w:t>
                  </w:r>
                  <w:r>
                    <w:rPr>
                      <w:rFonts w:hint="eastAsia"/>
                      <w:highlight w:val="none"/>
                      <w:lang w:val="en-US" w:eastAsia="zh-CN"/>
                    </w:rPr>
                    <w:t>40</w:t>
                  </w:r>
                  <w:r>
                    <w:rPr>
                      <w:highlight w:val="none"/>
                      <w:lang w:val="en-US"/>
                    </w:rPr>
                    <w:t xml:space="preserve"> to</w:t>
                  </w:r>
                </w:p>
                <w:p w14:paraId="7B08E17E">
                  <w:pPr>
                    <w:pStyle w:val="37"/>
                    <w:rPr>
                      <w:b w:val="0"/>
                      <w:highlight w:val="none"/>
                    </w:rPr>
                  </w:pPr>
                  <w:r>
                    <w:rPr>
                      <w:highlight w:val="none"/>
                      <w:lang w:val="en-US"/>
                    </w:rPr>
                    <w:t>F</w:t>
                  </w:r>
                  <w:r>
                    <w:rPr>
                      <w:highlight w:val="none"/>
                      <w:vertAlign w:val="subscript"/>
                      <w:lang w:val="en-US"/>
                    </w:rPr>
                    <w:t xml:space="preserve">DL_low </w:t>
                  </w:r>
                  <w:r>
                    <w:rPr>
                      <w:highlight w:val="none"/>
                      <w:lang w:val="en-US"/>
                    </w:rPr>
                    <w:t>-</w:t>
                  </w:r>
                  <w:r>
                    <w:rPr>
                      <w:rFonts w:hint="eastAsia"/>
                      <w:highlight w:val="none"/>
                      <w:lang w:val="en-US" w:eastAsia="zh-CN"/>
                    </w:rPr>
                    <w:t>85</w:t>
                  </w:r>
                  <w:r>
                    <w:rPr>
                      <w:highlight w:val="none"/>
                      <w:lang w:val="en-US"/>
                    </w:rPr>
                    <w:t xml:space="preserve"> </w:t>
                  </w:r>
                </w:p>
              </w:tc>
              <w:tc>
                <w:tcPr>
                  <w:tcW w:w="1184" w:type="dxa"/>
                  <w:vAlign w:val="center"/>
                </w:tcPr>
                <w:p w14:paraId="66A8F102">
                  <w:pPr>
                    <w:pStyle w:val="38"/>
                    <w:rPr>
                      <w:highlight w:val="none"/>
                      <w:lang w:val="en-US"/>
                    </w:rPr>
                  </w:pPr>
                  <w:r>
                    <w:rPr>
                      <w:highlight w:val="none"/>
                      <w:lang w:val="en-US"/>
                    </w:rPr>
                    <w:t>F</w:t>
                  </w:r>
                  <w:r>
                    <w:rPr>
                      <w:highlight w:val="none"/>
                      <w:vertAlign w:val="subscript"/>
                      <w:lang w:val="en-US"/>
                    </w:rPr>
                    <w:t xml:space="preserve">DL_low </w:t>
                  </w:r>
                  <w:r>
                    <w:rPr>
                      <w:highlight w:val="none"/>
                      <w:lang w:val="en-US"/>
                    </w:rPr>
                    <w:t>-</w:t>
                  </w:r>
                  <w:r>
                    <w:rPr>
                      <w:rFonts w:hint="eastAsia"/>
                      <w:highlight w:val="none"/>
                      <w:lang w:val="en-US" w:eastAsia="zh-CN"/>
                    </w:rPr>
                    <w:t>85</w:t>
                  </w:r>
                  <w:r>
                    <w:rPr>
                      <w:highlight w:val="none"/>
                      <w:lang w:val="en-US"/>
                    </w:rPr>
                    <w:t xml:space="preserve"> to</w:t>
                  </w:r>
                </w:p>
                <w:p w14:paraId="5A61AAD2">
                  <w:pPr>
                    <w:pStyle w:val="37"/>
                    <w:rPr>
                      <w:b w:val="0"/>
                      <w:highlight w:val="none"/>
                    </w:rPr>
                  </w:pPr>
                  <w:r>
                    <w:rPr>
                      <w:highlight w:val="none"/>
                      <w:lang w:val="en-US"/>
                    </w:rPr>
                    <w:t>F</w:t>
                  </w:r>
                  <w:r>
                    <w:rPr>
                      <w:highlight w:val="none"/>
                      <w:vertAlign w:val="subscript"/>
                      <w:lang w:val="en-US"/>
                    </w:rPr>
                    <w:t xml:space="preserve">DL_low </w:t>
                  </w:r>
                  <w:r>
                    <w:rPr>
                      <w:highlight w:val="none"/>
                      <w:lang w:val="en-US"/>
                    </w:rPr>
                    <w:t>-</w:t>
                  </w:r>
                  <w:r>
                    <w:rPr>
                      <w:rFonts w:hint="eastAsia"/>
                      <w:highlight w:val="none"/>
                      <w:lang w:val="en-US" w:eastAsia="zh-CN"/>
                    </w:rPr>
                    <w:t>110</w:t>
                  </w:r>
                  <w:r>
                    <w:rPr>
                      <w:highlight w:val="none"/>
                      <w:lang w:val="en-US"/>
                    </w:rPr>
                    <w:t xml:space="preserve"> </w:t>
                  </w:r>
                </w:p>
              </w:tc>
              <w:tc>
                <w:tcPr>
                  <w:tcW w:w="1197" w:type="dxa"/>
                  <w:vAlign w:val="center"/>
                </w:tcPr>
                <w:p w14:paraId="3A1221B8">
                  <w:pPr>
                    <w:pStyle w:val="38"/>
                    <w:rPr>
                      <w:highlight w:val="none"/>
                    </w:rPr>
                  </w:pPr>
                  <w:r>
                    <w:rPr>
                      <w:highlight w:val="none"/>
                    </w:rPr>
                    <w:t>F</w:t>
                  </w:r>
                  <w:r>
                    <w:rPr>
                      <w:highlight w:val="none"/>
                      <w:vertAlign w:val="subscript"/>
                    </w:rPr>
                    <w:t xml:space="preserve">DL_low </w:t>
                  </w:r>
                  <w:r>
                    <w:rPr>
                      <w:highlight w:val="none"/>
                    </w:rPr>
                    <w:t>-</w:t>
                  </w:r>
                  <w:r>
                    <w:rPr>
                      <w:rFonts w:hint="eastAsia"/>
                      <w:highlight w:val="none"/>
                      <w:lang w:eastAsia="zh-CN"/>
                    </w:rPr>
                    <w:t>110</w:t>
                  </w:r>
                  <w:r>
                    <w:rPr>
                      <w:highlight w:val="none"/>
                    </w:rPr>
                    <w:t xml:space="preserve"> to</w:t>
                  </w:r>
                </w:p>
                <w:p w14:paraId="4F61FC38">
                  <w:pPr>
                    <w:pStyle w:val="37"/>
                    <w:rPr>
                      <w:b w:val="0"/>
                      <w:highlight w:val="none"/>
                    </w:rPr>
                  </w:pPr>
                  <w:r>
                    <w:rPr>
                      <w:highlight w:val="none"/>
                    </w:rPr>
                    <w:t>1 MHz</w:t>
                  </w:r>
                </w:p>
              </w:tc>
            </w:tr>
            <w:tr w14:paraId="54E61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jc w:val="center"/>
              </w:trPr>
              <w:tc>
                <w:tcPr>
                  <w:tcW w:w="1258" w:type="dxa"/>
                  <w:vMerge w:val="continue"/>
                  <w:shd w:val="clear" w:color="auto" w:fill="auto"/>
                </w:tcPr>
                <w:p w14:paraId="05B7D632">
                  <w:pPr>
                    <w:pStyle w:val="37"/>
                    <w:rPr>
                      <w:highlight w:val="none"/>
                    </w:rPr>
                  </w:pPr>
                </w:p>
              </w:tc>
              <w:tc>
                <w:tcPr>
                  <w:tcW w:w="987" w:type="dxa"/>
                  <w:vMerge w:val="continue"/>
                  <w:vAlign w:val="center"/>
                </w:tcPr>
                <w:p w14:paraId="12C2434B">
                  <w:pPr>
                    <w:pStyle w:val="37"/>
                    <w:rPr>
                      <w:highlight w:val="none"/>
                    </w:rPr>
                  </w:pPr>
                </w:p>
              </w:tc>
              <w:tc>
                <w:tcPr>
                  <w:tcW w:w="784" w:type="dxa"/>
                  <w:vMerge w:val="continue"/>
                  <w:vAlign w:val="center"/>
                </w:tcPr>
                <w:p w14:paraId="6B6B695B">
                  <w:pPr>
                    <w:pStyle w:val="37"/>
                    <w:rPr>
                      <w:highlight w:val="none"/>
                    </w:rPr>
                  </w:pPr>
                </w:p>
              </w:tc>
              <w:tc>
                <w:tcPr>
                  <w:tcW w:w="1183" w:type="dxa"/>
                  <w:vAlign w:val="center"/>
                </w:tcPr>
                <w:p w14:paraId="32967D4A">
                  <w:pPr>
                    <w:pStyle w:val="38"/>
                    <w:rPr>
                      <w:highlight w:val="none"/>
                      <w:lang w:val="en-US"/>
                    </w:rPr>
                  </w:pPr>
                  <w:r>
                    <w:rPr>
                      <w:highlight w:val="none"/>
                      <w:lang w:val="en-US"/>
                    </w:rPr>
                    <w:t>F</w:t>
                  </w:r>
                  <w:r>
                    <w:rPr>
                      <w:highlight w:val="none"/>
                      <w:vertAlign w:val="subscript"/>
                      <w:lang w:val="en-US"/>
                    </w:rPr>
                    <w:t xml:space="preserve">DL_high </w:t>
                  </w:r>
                  <w:r>
                    <w:rPr>
                      <w:highlight w:val="none"/>
                      <w:lang w:val="en-US"/>
                    </w:rPr>
                    <w:t>+</w:t>
                  </w:r>
                  <w:r>
                    <w:rPr>
                      <w:rFonts w:hint="eastAsia"/>
                      <w:highlight w:val="none"/>
                      <w:lang w:val="en-US" w:eastAsia="zh-CN"/>
                    </w:rPr>
                    <w:t>30</w:t>
                  </w:r>
                  <w:r>
                    <w:rPr>
                      <w:highlight w:val="none"/>
                      <w:lang w:val="en-US"/>
                    </w:rPr>
                    <w:t xml:space="preserve"> to</w:t>
                  </w:r>
                </w:p>
                <w:p w14:paraId="58267E6A">
                  <w:pPr>
                    <w:pStyle w:val="37"/>
                    <w:rPr>
                      <w:b w:val="0"/>
                      <w:highlight w:val="none"/>
                    </w:rPr>
                  </w:pPr>
                  <w:r>
                    <w:rPr>
                      <w:highlight w:val="none"/>
                      <w:lang w:val="en-US"/>
                    </w:rPr>
                    <w:t>F</w:t>
                  </w:r>
                  <w:r>
                    <w:rPr>
                      <w:highlight w:val="none"/>
                      <w:vertAlign w:val="subscript"/>
                      <w:lang w:val="en-US"/>
                    </w:rPr>
                    <w:t xml:space="preserve">DL_high </w:t>
                  </w:r>
                  <w:r>
                    <w:rPr>
                      <w:highlight w:val="none"/>
                      <w:lang w:val="en-US"/>
                    </w:rPr>
                    <w:t xml:space="preserve">+ </w:t>
                  </w:r>
                  <w:r>
                    <w:rPr>
                      <w:rFonts w:hint="eastAsia"/>
                      <w:highlight w:val="none"/>
                      <w:lang w:val="en-US" w:eastAsia="zh-CN"/>
                    </w:rPr>
                    <w:t>75</w:t>
                  </w:r>
                  <w:r>
                    <w:rPr>
                      <w:highlight w:val="none"/>
                      <w:lang w:val="en-US"/>
                    </w:rPr>
                    <w:t xml:space="preserve"> </w:t>
                  </w:r>
                </w:p>
              </w:tc>
              <w:tc>
                <w:tcPr>
                  <w:tcW w:w="1184" w:type="dxa"/>
                  <w:vAlign w:val="center"/>
                </w:tcPr>
                <w:p w14:paraId="60E6131B">
                  <w:pPr>
                    <w:pStyle w:val="38"/>
                    <w:rPr>
                      <w:highlight w:val="none"/>
                      <w:lang w:val="en-US"/>
                    </w:rPr>
                  </w:pPr>
                  <w:r>
                    <w:rPr>
                      <w:highlight w:val="none"/>
                      <w:lang w:val="en-US"/>
                    </w:rPr>
                    <w:t>F</w:t>
                  </w:r>
                  <w:r>
                    <w:rPr>
                      <w:highlight w:val="none"/>
                      <w:vertAlign w:val="subscript"/>
                      <w:lang w:val="en-US"/>
                    </w:rPr>
                    <w:t xml:space="preserve">DL_high </w:t>
                  </w:r>
                  <w:r>
                    <w:rPr>
                      <w:highlight w:val="none"/>
                      <w:lang w:val="en-US"/>
                    </w:rPr>
                    <w:t>+</w:t>
                  </w:r>
                  <w:r>
                    <w:rPr>
                      <w:rFonts w:hint="eastAsia"/>
                      <w:highlight w:val="none"/>
                      <w:lang w:val="en-US" w:eastAsia="zh-CN"/>
                    </w:rPr>
                    <w:t>75</w:t>
                  </w:r>
                  <w:r>
                    <w:rPr>
                      <w:highlight w:val="none"/>
                      <w:lang w:val="en-US"/>
                    </w:rPr>
                    <w:t xml:space="preserve"> to</w:t>
                  </w:r>
                </w:p>
                <w:p w14:paraId="364ECB66">
                  <w:pPr>
                    <w:pStyle w:val="37"/>
                    <w:rPr>
                      <w:b w:val="0"/>
                      <w:highlight w:val="none"/>
                    </w:rPr>
                  </w:pPr>
                  <w:r>
                    <w:rPr>
                      <w:highlight w:val="none"/>
                      <w:lang w:val="en-US"/>
                    </w:rPr>
                    <w:t>F</w:t>
                  </w:r>
                  <w:r>
                    <w:rPr>
                      <w:highlight w:val="none"/>
                      <w:vertAlign w:val="subscript"/>
                      <w:lang w:val="en-US"/>
                    </w:rPr>
                    <w:t xml:space="preserve">DL_high </w:t>
                  </w:r>
                  <w:r>
                    <w:rPr>
                      <w:highlight w:val="none"/>
                      <w:lang w:val="en-US"/>
                    </w:rPr>
                    <w:t>+</w:t>
                  </w:r>
                  <w:r>
                    <w:rPr>
                      <w:rFonts w:hint="eastAsia"/>
                      <w:highlight w:val="none"/>
                      <w:lang w:val="en-US" w:eastAsia="zh-CN"/>
                    </w:rPr>
                    <w:t>100</w:t>
                  </w:r>
                  <w:r>
                    <w:rPr>
                      <w:highlight w:val="none"/>
                      <w:lang w:val="en-US"/>
                    </w:rPr>
                    <w:t xml:space="preserve"> </w:t>
                  </w:r>
                </w:p>
              </w:tc>
              <w:tc>
                <w:tcPr>
                  <w:tcW w:w="1197" w:type="dxa"/>
                  <w:vAlign w:val="center"/>
                </w:tcPr>
                <w:p w14:paraId="22219C1F">
                  <w:pPr>
                    <w:pStyle w:val="38"/>
                    <w:rPr>
                      <w:highlight w:val="none"/>
                    </w:rPr>
                  </w:pPr>
                  <w:r>
                    <w:rPr>
                      <w:highlight w:val="none"/>
                    </w:rPr>
                    <w:t>F</w:t>
                  </w:r>
                  <w:r>
                    <w:rPr>
                      <w:highlight w:val="none"/>
                      <w:vertAlign w:val="subscript"/>
                    </w:rPr>
                    <w:t xml:space="preserve">DL_high </w:t>
                  </w:r>
                  <w:r>
                    <w:rPr>
                      <w:highlight w:val="none"/>
                    </w:rPr>
                    <w:t>+</w:t>
                  </w:r>
                  <w:r>
                    <w:rPr>
                      <w:rFonts w:hint="eastAsia"/>
                      <w:highlight w:val="none"/>
                      <w:lang w:eastAsia="zh-CN"/>
                    </w:rPr>
                    <w:t>100</w:t>
                  </w:r>
                  <w:r>
                    <w:rPr>
                      <w:highlight w:val="none"/>
                    </w:rPr>
                    <w:t xml:space="preserve"> to</w:t>
                  </w:r>
                </w:p>
                <w:p w14:paraId="3D1D9750">
                  <w:pPr>
                    <w:pStyle w:val="37"/>
                    <w:rPr>
                      <w:b w:val="0"/>
                      <w:highlight w:val="none"/>
                    </w:rPr>
                  </w:pPr>
                  <w:r>
                    <w:rPr>
                      <w:highlight w:val="none"/>
                    </w:rPr>
                    <w:t>+12750 MHz</w:t>
                  </w:r>
                </w:p>
              </w:tc>
            </w:tr>
            <w:tr w14:paraId="1B7AB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1258" w:type="dxa"/>
                  <w:shd w:val="clear" w:color="auto" w:fill="auto"/>
                  <w:vAlign w:val="center"/>
                </w:tcPr>
                <w:p w14:paraId="4AC72F26">
                  <w:pPr>
                    <w:pStyle w:val="37"/>
                    <w:jc w:val="left"/>
                    <w:rPr>
                      <w:rFonts w:eastAsiaTheme="minorEastAsia"/>
                      <w:b w:val="0"/>
                      <w:bCs/>
                      <w:highlight w:val="none"/>
                      <w:lang w:eastAsia="zh-CN"/>
                    </w:rPr>
                  </w:pPr>
                  <w:r>
                    <w:rPr>
                      <w:rFonts w:hint="eastAsia" w:eastAsiaTheme="minorEastAsia"/>
                      <w:b w:val="0"/>
                      <w:bCs/>
                      <w:szCs w:val="18"/>
                      <w:highlight w:val="none"/>
                      <w:lang w:eastAsia="zh-CN"/>
                    </w:rPr>
                    <w:t>246</w:t>
                  </w:r>
                </w:p>
              </w:tc>
              <w:tc>
                <w:tcPr>
                  <w:tcW w:w="987" w:type="dxa"/>
                  <w:vAlign w:val="center"/>
                </w:tcPr>
                <w:p w14:paraId="23A5B678">
                  <w:pPr>
                    <w:pStyle w:val="37"/>
                    <w:jc w:val="left"/>
                    <w:rPr>
                      <w:b w:val="0"/>
                      <w:bCs/>
                      <w:highlight w:val="none"/>
                    </w:rPr>
                  </w:pPr>
                  <w:r>
                    <w:rPr>
                      <w:b w:val="0"/>
                      <w:bCs/>
                      <w:highlight w:val="none"/>
                    </w:rPr>
                    <w:t>P</w:t>
                  </w:r>
                  <w:r>
                    <w:rPr>
                      <w:b w:val="0"/>
                      <w:bCs/>
                      <w:highlight w:val="none"/>
                      <w:vertAlign w:val="subscript"/>
                    </w:rPr>
                    <w:t>Interferer</w:t>
                  </w:r>
                </w:p>
              </w:tc>
              <w:tc>
                <w:tcPr>
                  <w:tcW w:w="784" w:type="dxa"/>
                  <w:vAlign w:val="center"/>
                </w:tcPr>
                <w:p w14:paraId="756EA73A">
                  <w:pPr>
                    <w:pStyle w:val="37"/>
                    <w:rPr>
                      <w:b w:val="0"/>
                      <w:bCs/>
                      <w:highlight w:val="none"/>
                    </w:rPr>
                  </w:pPr>
                  <w:r>
                    <w:rPr>
                      <w:b w:val="0"/>
                      <w:bCs/>
                      <w:highlight w:val="none"/>
                    </w:rPr>
                    <w:t>dBm</w:t>
                  </w:r>
                </w:p>
              </w:tc>
              <w:tc>
                <w:tcPr>
                  <w:tcW w:w="1183" w:type="dxa"/>
                </w:tcPr>
                <w:p w14:paraId="44D50BF0">
                  <w:pPr>
                    <w:pStyle w:val="38"/>
                    <w:rPr>
                      <w:highlight w:val="none"/>
                    </w:rPr>
                  </w:pPr>
                  <w:r>
                    <w:rPr>
                      <w:highlight w:val="none"/>
                    </w:rPr>
                    <w:t>-44</w:t>
                  </w:r>
                </w:p>
              </w:tc>
              <w:tc>
                <w:tcPr>
                  <w:tcW w:w="1184" w:type="dxa"/>
                </w:tcPr>
                <w:p w14:paraId="579B3985">
                  <w:pPr>
                    <w:pStyle w:val="38"/>
                    <w:rPr>
                      <w:highlight w:val="none"/>
                    </w:rPr>
                  </w:pPr>
                  <w:r>
                    <w:rPr>
                      <w:highlight w:val="none"/>
                    </w:rPr>
                    <w:t>-30</w:t>
                  </w:r>
                </w:p>
              </w:tc>
              <w:tc>
                <w:tcPr>
                  <w:tcW w:w="1197" w:type="dxa"/>
                </w:tcPr>
                <w:p w14:paraId="0EC69828">
                  <w:pPr>
                    <w:pStyle w:val="38"/>
                    <w:rPr>
                      <w:highlight w:val="none"/>
                    </w:rPr>
                  </w:pPr>
                  <w:r>
                    <w:rPr>
                      <w:highlight w:val="none"/>
                    </w:rPr>
                    <w:t>-15</w:t>
                  </w:r>
                </w:p>
              </w:tc>
            </w:tr>
          </w:tbl>
          <w:p w14:paraId="4CF4342E">
            <w:pPr>
              <w:rPr>
                <w:rFonts w:hint="eastAsia"/>
                <w:szCs w:val="20"/>
                <w:vertAlign w:val="baseline"/>
                <w:lang w:val="en-US" w:eastAsia="zh-CN"/>
              </w:rPr>
            </w:pPr>
          </w:p>
        </w:tc>
      </w:tr>
    </w:tbl>
    <w:p w14:paraId="4B13F09F">
      <w:pPr>
        <w:bidi w:val="0"/>
        <w:jc w:val="both"/>
        <w:rPr>
          <w:rFonts w:hint="eastAsia"/>
          <w:lang w:val="en-US" w:eastAsia="zh-CN"/>
        </w:rPr>
      </w:pPr>
    </w:p>
    <w:p w14:paraId="4B4867EA">
      <w:pPr>
        <w:bidi w:val="0"/>
        <w:jc w:val="both"/>
        <w:rPr>
          <w:rFonts w:hint="eastAsia" w:eastAsia="宋体"/>
          <w:lang w:val="en-US" w:eastAsia="zh-CN"/>
        </w:rPr>
      </w:pPr>
      <w:r>
        <w:rPr>
          <w:rFonts w:hint="eastAsia"/>
          <w:lang w:val="en-US" w:eastAsia="zh-CN"/>
        </w:rPr>
        <w:t>Regarding UE out-of-band blocking for the new NTN broadcast band, the agreement is to specify it based on RF filter sharing with LTE band 50. And the agreement in last meeting is shown in the above.While the frequency range of OOBB in spec is defined as</w:t>
      </w:r>
      <w:r>
        <w:t xml:space="preserve"> 15 MHz below or above the UE receive band.</w:t>
      </w:r>
      <w:r>
        <w:rPr>
          <w:rFonts w:hint="eastAsia" w:eastAsia="宋体"/>
          <w:lang w:val="en-US" w:eastAsia="zh-CN"/>
        </w:rPr>
        <w:t xml:space="preserve"> So the start point of frequency range 1 should be </w:t>
      </w:r>
      <w:r>
        <w:rPr>
          <w:lang w:val="en-US"/>
        </w:rPr>
        <w:t>F</w:t>
      </w:r>
      <w:r>
        <w:rPr>
          <w:vertAlign w:val="subscript"/>
          <w:lang w:val="en-US"/>
        </w:rPr>
        <w:t xml:space="preserve">DL_low </w:t>
      </w:r>
      <w:r>
        <w:rPr>
          <w:lang w:val="en-US"/>
        </w:rPr>
        <w:t>-</w:t>
      </w:r>
      <w:r>
        <w:rPr>
          <w:rFonts w:hint="eastAsia" w:eastAsia="宋体"/>
          <w:lang w:val="en-US" w:eastAsia="zh-CN"/>
        </w:rPr>
        <w:t xml:space="preserve">15 or </w:t>
      </w:r>
      <w:r>
        <w:rPr>
          <w:lang w:val="en-US"/>
        </w:rPr>
        <w:t>F</w:t>
      </w:r>
      <w:r>
        <w:rPr>
          <w:vertAlign w:val="subscript"/>
          <w:lang w:val="en-US"/>
        </w:rPr>
        <w:t xml:space="preserve">DL_high </w:t>
      </w:r>
      <w:r>
        <w:rPr>
          <w:lang w:val="en-US"/>
        </w:rPr>
        <w:t>+</w:t>
      </w:r>
      <w:r>
        <w:rPr>
          <w:rFonts w:hint="eastAsia" w:eastAsia="宋体"/>
          <w:lang w:val="en-US" w:eastAsia="zh-CN"/>
        </w:rPr>
        <w:t>15. In addition, considering the offset of low and high frequency edge between band 50 and 246, OOBB requirements should be extended with 35MHz offset in the low frequency and 25MHz offset in the high frequency. The revised requirement is shown as below:</w:t>
      </w:r>
    </w:p>
    <w:p w14:paraId="666D2C1B">
      <w:pPr>
        <w:jc w:val="center"/>
        <w:rPr>
          <w:b/>
          <w:bCs/>
        </w:rPr>
      </w:pPr>
      <w:r>
        <w:rPr>
          <w:b/>
          <w:bCs/>
        </w:rPr>
        <w:t>Table 7.6</w:t>
      </w:r>
      <w:r>
        <w:rPr>
          <w:rFonts w:hint="eastAsia" w:eastAsiaTheme="minorEastAsia"/>
          <w:b/>
          <w:bCs/>
          <w:lang w:eastAsia="zh-CN"/>
        </w:rPr>
        <w:t>C</w:t>
      </w:r>
      <w:r>
        <w:rPr>
          <w:b/>
          <w:bCs/>
        </w:rPr>
        <w:t>.</w:t>
      </w:r>
      <w:r>
        <w:rPr>
          <w:rFonts w:hint="eastAsia" w:eastAsiaTheme="minorEastAsia"/>
          <w:b/>
          <w:bCs/>
          <w:lang w:eastAsia="zh-CN"/>
        </w:rPr>
        <w:t>3</w:t>
      </w:r>
      <w:r>
        <w:rPr>
          <w:b/>
          <w:bCs/>
        </w:rPr>
        <w:t>-2: Out of band blocking</w:t>
      </w:r>
    </w:p>
    <w:tbl>
      <w:tblPr>
        <w:tblStyle w:val="18"/>
        <w:tblW w:w="92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488"/>
        <w:gridCol w:w="799"/>
        <w:gridCol w:w="1939"/>
        <w:gridCol w:w="1939"/>
        <w:gridCol w:w="1939"/>
      </w:tblGrid>
      <w:tr w14:paraId="16815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vMerge w:val="restart"/>
            <w:tcBorders>
              <w:top w:val="single" w:color="auto" w:sz="4" w:space="0"/>
              <w:left w:val="single" w:color="auto" w:sz="4" w:space="0"/>
              <w:right w:val="single" w:color="auto" w:sz="4" w:space="0"/>
            </w:tcBorders>
          </w:tcPr>
          <w:p w14:paraId="01D99FDA">
            <w:pPr>
              <w:pStyle w:val="37"/>
            </w:pPr>
            <w:r>
              <w:rPr>
                <w:lang w:val="en-US"/>
              </w:rPr>
              <w:t>Operating Band</w:t>
            </w:r>
          </w:p>
        </w:tc>
        <w:tc>
          <w:tcPr>
            <w:tcW w:w="1488" w:type="dxa"/>
            <w:tcBorders>
              <w:top w:val="single" w:color="auto" w:sz="4" w:space="0"/>
              <w:left w:val="single" w:color="auto" w:sz="4" w:space="0"/>
              <w:bottom w:val="single" w:color="auto" w:sz="4" w:space="0"/>
              <w:right w:val="single" w:color="auto" w:sz="4" w:space="0"/>
            </w:tcBorders>
          </w:tcPr>
          <w:p w14:paraId="6C37DFB1">
            <w:pPr>
              <w:pStyle w:val="37"/>
            </w:pPr>
            <w:r>
              <w:t>Parameter</w:t>
            </w:r>
          </w:p>
        </w:tc>
        <w:tc>
          <w:tcPr>
            <w:tcW w:w="799" w:type="dxa"/>
            <w:tcBorders>
              <w:top w:val="single" w:color="auto" w:sz="4" w:space="0"/>
              <w:left w:val="single" w:color="auto" w:sz="4" w:space="0"/>
              <w:bottom w:val="single" w:color="auto" w:sz="4" w:space="0"/>
              <w:right w:val="single" w:color="auto" w:sz="4" w:space="0"/>
            </w:tcBorders>
          </w:tcPr>
          <w:p w14:paraId="1906F39B">
            <w:pPr>
              <w:pStyle w:val="37"/>
            </w:pPr>
            <w:r>
              <w:t>Unit</w:t>
            </w:r>
          </w:p>
        </w:tc>
        <w:tc>
          <w:tcPr>
            <w:tcW w:w="1939" w:type="dxa"/>
            <w:tcBorders>
              <w:top w:val="single" w:color="auto" w:sz="4" w:space="0"/>
              <w:left w:val="single" w:color="auto" w:sz="4" w:space="0"/>
              <w:bottom w:val="single" w:color="auto" w:sz="4" w:space="0"/>
              <w:right w:val="single" w:color="auto" w:sz="4" w:space="0"/>
            </w:tcBorders>
          </w:tcPr>
          <w:p w14:paraId="2E0FBD5A">
            <w:pPr>
              <w:pStyle w:val="37"/>
            </w:pPr>
            <w:r>
              <w:t>Range 1</w:t>
            </w:r>
          </w:p>
        </w:tc>
        <w:tc>
          <w:tcPr>
            <w:tcW w:w="1939" w:type="dxa"/>
            <w:tcBorders>
              <w:top w:val="single" w:color="auto" w:sz="4" w:space="0"/>
              <w:left w:val="single" w:color="auto" w:sz="4" w:space="0"/>
              <w:bottom w:val="single" w:color="auto" w:sz="4" w:space="0"/>
              <w:right w:val="single" w:color="auto" w:sz="4" w:space="0"/>
            </w:tcBorders>
          </w:tcPr>
          <w:p w14:paraId="266801C9">
            <w:pPr>
              <w:pStyle w:val="37"/>
            </w:pPr>
            <w:r>
              <w:t>Range 2</w:t>
            </w:r>
          </w:p>
        </w:tc>
        <w:tc>
          <w:tcPr>
            <w:tcW w:w="1939" w:type="dxa"/>
            <w:tcBorders>
              <w:top w:val="single" w:color="auto" w:sz="4" w:space="0"/>
              <w:left w:val="single" w:color="auto" w:sz="4" w:space="0"/>
              <w:bottom w:val="single" w:color="auto" w:sz="4" w:space="0"/>
              <w:right w:val="single" w:color="auto" w:sz="4" w:space="0"/>
            </w:tcBorders>
          </w:tcPr>
          <w:p w14:paraId="34CB1F3B">
            <w:pPr>
              <w:pStyle w:val="37"/>
            </w:pPr>
            <w:r>
              <w:t>Range 3</w:t>
            </w:r>
          </w:p>
        </w:tc>
      </w:tr>
      <w:tr w14:paraId="6195A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vMerge w:val="continue"/>
            <w:tcBorders>
              <w:left w:val="single" w:color="auto" w:sz="4" w:space="0"/>
              <w:right w:val="single" w:color="auto" w:sz="4" w:space="0"/>
            </w:tcBorders>
          </w:tcPr>
          <w:p w14:paraId="4B82E523">
            <w:pPr>
              <w:pStyle w:val="37"/>
              <w:rPr>
                <w:lang w:val="en-US"/>
              </w:rPr>
            </w:pPr>
          </w:p>
        </w:tc>
        <w:tc>
          <w:tcPr>
            <w:tcW w:w="1488" w:type="dxa"/>
            <w:tcBorders>
              <w:top w:val="single" w:color="auto" w:sz="4" w:space="0"/>
              <w:left w:val="single" w:color="auto" w:sz="4" w:space="0"/>
              <w:bottom w:val="single" w:color="auto" w:sz="4" w:space="0"/>
              <w:right w:val="single" w:color="auto" w:sz="4" w:space="0"/>
            </w:tcBorders>
            <w:vAlign w:val="center"/>
          </w:tcPr>
          <w:p w14:paraId="11FABE16">
            <w:pPr>
              <w:pStyle w:val="38"/>
              <w:rPr>
                <w:rFonts w:cs="Arial"/>
                <w:lang w:val="en-US"/>
              </w:rPr>
            </w:pPr>
            <w:r>
              <w:rPr>
                <w:rFonts w:cs="Arial"/>
                <w:lang w:val="en-US"/>
              </w:rPr>
              <w:t>P</w:t>
            </w:r>
            <w:r>
              <w:rPr>
                <w:rFonts w:cs="Arial"/>
                <w:vertAlign w:val="subscript"/>
                <w:lang w:val="en-US"/>
              </w:rPr>
              <w:t>w</w:t>
            </w:r>
          </w:p>
        </w:tc>
        <w:tc>
          <w:tcPr>
            <w:tcW w:w="799" w:type="dxa"/>
            <w:tcBorders>
              <w:top w:val="single" w:color="auto" w:sz="4" w:space="0"/>
              <w:left w:val="single" w:color="auto" w:sz="4" w:space="0"/>
              <w:bottom w:val="single" w:color="auto" w:sz="4" w:space="0"/>
              <w:right w:val="single" w:color="auto" w:sz="4" w:space="0"/>
            </w:tcBorders>
            <w:vAlign w:val="center"/>
          </w:tcPr>
          <w:p w14:paraId="31D1E9B9">
            <w:pPr>
              <w:pStyle w:val="38"/>
              <w:rPr>
                <w:rFonts w:cs="Arial"/>
                <w:lang w:val="en-US"/>
              </w:rPr>
            </w:pPr>
            <w:r>
              <w:rPr>
                <w:rFonts w:cs="Arial"/>
                <w:lang w:val="en-US"/>
              </w:rPr>
              <w:t>dBm</w:t>
            </w:r>
          </w:p>
        </w:tc>
        <w:tc>
          <w:tcPr>
            <w:tcW w:w="5817" w:type="dxa"/>
            <w:gridSpan w:val="3"/>
            <w:tcBorders>
              <w:top w:val="single" w:color="auto" w:sz="4" w:space="0"/>
              <w:left w:val="single" w:color="auto" w:sz="4" w:space="0"/>
              <w:bottom w:val="single" w:color="auto" w:sz="4" w:space="0"/>
              <w:right w:val="single" w:color="auto" w:sz="4" w:space="0"/>
            </w:tcBorders>
            <w:vAlign w:val="center"/>
          </w:tcPr>
          <w:p w14:paraId="65BBAEEA">
            <w:pPr>
              <w:pStyle w:val="37"/>
            </w:pPr>
            <w:r>
              <w:rPr>
                <w:rFonts w:cs="Arial"/>
                <w:lang w:val="en-US"/>
              </w:rPr>
              <w:t>REFSENS + 6 dB</w:t>
            </w:r>
          </w:p>
        </w:tc>
      </w:tr>
      <w:tr w14:paraId="676DB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vMerge w:val="continue"/>
            <w:tcBorders>
              <w:left w:val="single" w:color="auto" w:sz="4" w:space="0"/>
              <w:bottom w:val="single" w:color="auto" w:sz="4" w:space="0"/>
              <w:right w:val="single" w:color="auto" w:sz="4" w:space="0"/>
            </w:tcBorders>
          </w:tcPr>
          <w:p w14:paraId="51699865"/>
        </w:tc>
        <w:tc>
          <w:tcPr>
            <w:tcW w:w="1488" w:type="dxa"/>
            <w:tcBorders>
              <w:top w:val="single" w:color="auto" w:sz="4" w:space="0"/>
              <w:left w:val="single" w:color="auto" w:sz="4" w:space="0"/>
              <w:bottom w:val="single" w:color="auto" w:sz="4" w:space="0"/>
              <w:right w:val="single" w:color="auto" w:sz="4" w:space="0"/>
            </w:tcBorders>
          </w:tcPr>
          <w:p w14:paraId="756C27BB">
            <w:pPr>
              <w:pStyle w:val="38"/>
              <w:rPr>
                <w:lang w:val="sv-SE"/>
              </w:rPr>
            </w:pPr>
            <w:r>
              <w:rPr>
                <w:lang w:val="sv-SE"/>
              </w:rPr>
              <w:t>P</w:t>
            </w:r>
            <w:r>
              <w:rPr>
                <w:vertAlign w:val="subscript"/>
                <w:lang w:val="sv-SE"/>
              </w:rPr>
              <w:t>interferer</w:t>
            </w:r>
          </w:p>
        </w:tc>
        <w:tc>
          <w:tcPr>
            <w:tcW w:w="799" w:type="dxa"/>
            <w:tcBorders>
              <w:top w:val="single" w:color="auto" w:sz="4" w:space="0"/>
              <w:left w:val="single" w:color="auto" w:sz="4" w:space="0"/>
              <w:bottom w:val="single" w:color="auto" w:sz="4" w:space="0"/>
              <w:right w:val="single" w:color="auto" w:sz="4" w:space="0"/>
            </w:tcBorders>
          </w:tcPr>
          <w:p w14:paraId="423C880B">
            <w:pPr>
              <w:pStyle w:val="38"/>
              <w:rPr>
                <w:lang w:val="sv-SE"/>
              </w:rPr>
            </w:pPr>
            <w:r>
              <w:rPr>
                <w:lang w:val="sv-SE"/>
              </w:rPr>
              <w:t>dBm</w:t>
            </w:r>
          </w:p>
        </w:tc>
        <w:tc>
          <w:tcPr>
            <w:tcW w:w="1939" w:type="dxa"/>
            <w:tcBorders>
              <w:top w:val="single" w:color="auto" w:sz="4" w:space="0"/>
              <w:left w:val="single" w:color="auto" w:sz="4" w:space="0"/>
              <w:bottom w:val="single" w:color="auto" w:sz="4" w:space="0"/>
              <w:right w:val="single" w:color="auto" w:sz="4" w:space="0"/>
            </w:tcBorders>
          </w:tcPr>
          <w:p w14:paraId="75D81099">
            <w:pPr>
              <w:pStyle w:val="38"/>
            </w:pPr>
            <w:r>
              <w:t>-44</w:t>
            </w:r>
          </w:p>
        </w:tc>
        <w:tc>
          <w:tcPr>
            <w:tcW w:w="1939" w:type="dxa"/>
            <w:tcBorders>
              <w:top w:val="single" w:color="auto" w:sz="4" w:space="0"/>
              <w:left w:val="single" w:color="auto" w:sz="4" w:space="0"/>
              <w:bottom w:val="single" w:color="auto" w:sz="4" w:space="0"/>
              <w:right w:val="single" w:color="auto" w:sz="4" w:space="0"/>
            </w:tcBorders>
          </w:tcPr>
          <w:p w14:paraId="0CE28AC9">
            <w:pPr>
              <w:pStyle w:val="38"/>
            </w:pPr>
            <w:r>
              <w:t>-30</w:t>
            </w:r>
          </w:p>
        </w:tc>
        <w:tc>
          <w:tcPr>
            <w:tcW w:w="1939" w:type="dxa"/>
            <w:tcBorders>
              <w:top w:val="single" w:color="auto" w:sz="4" w:space="0"/>
              <w:left w:val="single" w:color="auto" w:sz="4" w:space="0"/>
              <w:bottom w:val="single" w:color="auto" w:sz="4" w:space="0"/>
              <w:right w:val="single" w:color="auto" w:sz="4" w:space="0"/>
            </w:tcBorders>
          </w:tcPr>
          <w:p w14:paraId="17E09EFA">
            <w:pPr>
              <w:pStyle w:val="38"/>
            </w:pPr>
            <w:r>
              <w:rPr>
                <w:lang w:val="sv-SE"/>
              </w:rPr>
              <w:t>-15</w:t>
            </w:r>
          </w:p>
        </w:tc>
      </w:tr>
      <w:tr w14:paraId="0B843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14:paraId="45952BE5">
            <w:pPr>
              <w:pStyle w:val="38"/>
              <w:rPr>
                <w:rFonts w:hint="default"/>
                <w:lang w:val="en-US"/>
              </w:rPr>
            </w:pPr>
            <w:r>
              <w:rPr>
                <w:rFonts w:hint="eastAsia" w:eastAsia="宋体"/>
                <w:lang w:val="en-US" w:eastAsia="zh-CN"/>
              </w:rPr>
              <w:t>2</w:t>
            </w:r>
            <w:r>
              <w:rPr>
                <w:rFonts w:hint="eastAsia"/>
                <w:lang w:val="en-US" w:eastAsia="zh-CN"/>
              </w:rPr>
              <w:t>46</w:t>
            </w:r>
          </w:p>
        </w:tc>
        <w:tc>
          <w:tcPr>
            <w:tcW w:w="1488" w:type="dxa"/>
            <w:tcBorders>
              <w:top w:val="single" w:color="auto" w:sz="4" w:space="0"/>
              <w:left w:val="single" w:color="auto" w:sz="4" w:space="0"/>
              <w:bottom w:val="single" w:color="auto" w:sz="4" w:space="0"/>
              <w:right w:val="single" w:color="auto" w:sz="4" w:space="0"/>
            </w:tcBorders>
          </w:tcPr>
          <w:p w14:paraId="65DED4C1">
            <w:pPr>
              <w:pStyle w:val="38"/>
              <w:rPr>
                <w:lang w:val="sv-SE"/>
              </w:rPr>
            </w:pPr>
            <w:r>
              <w:rPr>
                <w:lang w:val="sv-SE"/>
              </w:rPr>
              <w:t>F</w:t>
            </w:r>
            <w:r>
              <w:rPr>
                <w:vertAlign w:val="subscript"/>
                <w:lang w:val="sv-SE"/>
              </w:rPr>
              <w:t>interferer</w:t>
            </w:r>
            <w:r>
              <w:rPr>
                <w:lang w:val="sv-SE"/>
              </w:rPr>
              <w:t xml:space="preserve"> (CW)</w:t>
            </w:r>
          </w:p>
        </w:tc>
        <w:tc>
          <w:tcPr>
            <w:tcW w:w="799" w:type="dxa"/>
            <w:tcBorders>
              <w:top w:val="single" w:color="auto" w:sz="4" w:space="0"/>
              <w:left w:val="single" w:color="auto" w:sz="4" w:space="0"/>
              <w:bottom w:val="single" w:color="auto" w:sz="4" w:space="0"/>
              <w:right w:val="single" w:color="auto" w:sz="4" w:space="0"/>
            </w:tcBorders>
          </w:tcPr>
          <w:p w14:paraId="752E6C72">
            <w:pPr>
              <w:pStyle w:val="38"/>
              <w:rPr>
                <w:lang w:val="sv-SE"/>
              </w:rPr>
            </w:pPr>
            <w:r>
              <w:rPr>
                <w:lang w:val="sv-SE"/>
              </w:rPr>
              <w:t>MHz</w:t>
            </w:r>
          </w:p>
        </w:tc>
        <w:tc>
          <w:tcPr>
            <w:tcW w:w="1939" w:type="dxa"/>
            <w:tcBorders>
              <w:top w:val="single" w:color="auto" w:sz="4" w:space="0"/>
              <w:left w:val="single" w:color="auto" w:sz="4" w:space="0"/>
              <w:bottom w:val="single" w:color="auto" w:sz="4" w:space="0"/>
              <w:right w:val="single" w:color="auto" w:sz="4" w:space="0"/>
            </w:tcBorders>
          </w:tcPr>
          <w:p w14:paraId="52CF49EB">
            <w:pPr>
              <w:pStyle w:val="38"/>
              <w:rPr>
                <w:rFonts w:cs="Arial"/>
              </w:rPr>
            </w:pPr>
            <w:r>
              <w:rPr>
                <w:rFonts w:cs="Arial"/>
              </w:rPr>
              <w:t>-</w:t>
            </w:r>
            <w:r>
              <w:rPr>
                <w:rFonts w:hint="eastAsia" w:cs="Arial"/>
                <w:lang w:val="en-US" w:eastAsia="zh-CN"/>
              </w:rPr>
              <w:t>95</w:t>
            </w:r>
            <w:r>
              <w:rPr>
                <w:rFonts w:cs="Arial"/>
              </w:rPr>
              <w:t xml:space="preserve"> &lt; f – F</w:t>
            </w:r>
            <w:r>
              <w:rPr>
                <w:rFonts w:cs="Arial"/>
                <w:vertAlign w:val="subscript"/>
              </w:rPr>
              <w:t>DL_low</w:t>
            </w:r>
            <w:r>
              <w:rPr>
                <w:rFonts w:cs="Arial"/>
              </w:rPr>
              <w:t xml:space="preserve"> &lt; -15</w:t>
            </w:r>
          </w:p>
          <w:p w14:paraId="52DE28E8">
            <w:pPr>
              <w:pStyle w:val="38"/>
              <w:rPr>
                <w:rFonts w:cs="Arial"/>
              </w:rPr>
            </w:pPr>
            <w:r>
              <w:rPr>
                <w:rFonts w:cs="Arial"/>
              </w:rPr>
              <w:t>or</w:t>
            </w:r>
          </w:p>
          <w:p w14:paraId="54DAF9F4">
            <w:pPr>
              <w:pStyle w:val="38"/>
              <w:rPr>
                <w:rFonts w:hint="default" w:eastAsia="宋体" w:cs="Arial"/>
                <w:lang w:val="en-US" w:eastAsia="zh-CN"/>
              </w:rPr>
            </w:pPr>
            <w:r>
              <w:rPr>
                <w:rFonts w:cs="Arial"/>
              </w:rPr>
              <w:t>15 &lt; f – F</w:t>
            </w:r>
            <w:r>
              <w:rPr>
                <w:rFonts w:cs="Arial"/>
                <w:vertAlign w:val="subscript"/>
              </w:rPr>
              <w:t>DL_high</w:t>
            </w:r>
            <w:r>
              <w:rPr>
                <w:rFonts w:cs="Arial"/>
              </w:rPr>
              <w:t xml:space="preserve"> &lt; </w:t>
            </w:r>
            <w:r>
              <w:rPr>
                <w:rFonts w:hint="eastAsia" w:cs="Arial"/>
                <w:lang w:val="en-US" w:eastAsia="zh-CN"/>
              </w:rPr>
              <w:t>85</w:t>
            </w:r>
          </w:p>
        </w:tc>
        <w:tc>
          <w:tcPr>
            <w:tcW w:w="1939" w:type="dxa"/>
            <w:tcBorders>
              <w:top w:val="single" w:color="auto" w:sz="4" w:space="0"/>
              <w:left w:val="single" w:color="auto" w:sz="4" w:space="0"/>
              <w:bottom w:val="single" w:color="auto" w:sz="4" w:space="0"/>
              <w:right w:val="single" w:color="auto" w:sz="4" w:space="0"/>
            </w:tcBorders>
          </w:tcPr>
          <w:p w14:paraId="3C7335F9">
            <w:pPr>
              <w:pStyle w:val="38"/>
              <w:rPr>
                <w:rFonts w:hint="default" w:eastAsia="宋体" w:cs="Arial"/>
                <w:lang w:val="en-US" w:eastAsia="zh-CN"/>
              </w:rPr>
            </w:pPr>
            <w:r>
              <w:rPr>
                <w:rFonts w:cs="Arial"/>
              </w:rPr>
              <w:t>-</w:t>
            </w:r>
            <w:r>
              <w:rPr>
                <w:rFonts w:hint="eastAsia" w:cs="Arial"/>
                <w:lang w:val="en-US" w:eastAsia="zh-CN"/>
              </w:rPr>
              <w:t>9</w:t>
            </w:r>
            <w:r>
              <w:rPr>
                <w:rFonts w:cs="Arial"/>
              </w:rPr>
              <w:t>5 &lt; f – F</w:t>
            </w:r>
            <w:r>
              <w:rPr>
                <w:rFonts w:cs="Arial"/>
                <w:vertAlign w:val="subscript"/>
              </w:rPr>
              <w:t>DL_low</w:t>
            </w:r>
            <w:r>
              <w:rPr>
                <w:rFonts w:cs="Arial"/>
              </w:rPr>
              <w:t xml:space="preserve"> ≤ -</w:t>
            </w:r>
            <w:r>
              <w:rPr>
                <w:rFonts w:hint="eastAsia" w:cs="Arial"/>
                <w:lang w:val="en-US" w:eastAsia="zh-CN"/>
              </w:rPr>
              <w:t>120</w:t>
            </w:r>
          </w:p>
          <w:p w14:paraId="501F7714">
            <w:pPr>
              <w:pStyle w:val="38"/>
              <w:rPr>
                <w:rFonts w:cs="Arial"/>
              </w:rPr>
            </w:pPr>
            <w:r>
              <w:rPr>
                <w:rFonts w:cs="Arial"/>
              </w:rPr>
              <w:t>or</w:t>
            </w:r>
          </w:p>
          <w:p w14:paraId="22D1E9FD">
            <w:pPr>
              <w:pStyle w:val="38"/>
              <w:rPr>
                <w:rFonts w:hint="default" w:eastAsia="宋体" w:cs="Arial"/>
                <w:lang w:val="en-US" w:eastAsia="zh-CN"/>
              </w:rPr>
            </w:pPr>
            <w:r>
              <w:rPr>
                <w:rFonts w:hint="eastAsia" w:cs="Arial"/>
                <w:lang w:val="en-US" w:eastAsia="zh-CN"/>
              </w:rPr>
              <w:t>85</w:t>
            </w:r>
            <w:r>
              <w:rPr>
                <w:rFonts w:cs="Arial"/>
              </w:rPr>
              <w:t xml:space="preserve"> ≤ f – F</w:t>
            </w:r>
            <w:r>
              <w:rPr>
                <w:rFonts w:cs="Arial"/>
                <w:vertAlign w:val="subscript"/>
              </w:rPr>
              <w:t>DL_high</w:t>
            </w:r>
            <w:r>
              <w:rPr>
                <w:rFonts w:cs="Arial"/>
              </w:rPr>
              <w:t xml:space="preserve"> &lt; </w:t>
            </w:r>
            <w:r>
              <w:rPr>
                <w:rFonts w:hint="eastAsia" w:cs="Arial"/>
                <w:lang w:val="en-US" w:eastAsia="zh-CN"/>
              </w:rPr>
              <w:t>110</w:t>
            </w:r>
          </w:p>
        </w:tc>
        <w:tc>
          <w:tcPr>
            <w:tcW w:w="1939" w:type="dxa"/>
            <w:tcBorders>
              <w:top w:val="single" w:color="auto" w:sz="4" w:space="0"/>
              <w:left w:val="single" w:color="auto" w:sz="4" w:space="0"/>
              <w:bottom w:val="single" w:color="auto" w:sz="4" w:space="0"/>
              <w:right w:val="single" w:color="auto" w:sz="4" w:space="0"/>
            </w:tcBorders>
          </w:tcPr>
          <w:p w14:paraId="0F98DA4D">
            <w:pPr>
              <w:pStyle w:val="38"/>
              <w:rPr>
                <w:rFonts w:hint="default" w:eastAsia="宋体" w:cs="Arial"/>
                <w:lang w:val="en-US" w:eastAsia="zh-CN"/>
              </w:rPr>
            </w:pPr>
            <w:r>
              <w:rPr>
                <w:rFonts w:cs="Arial"/>
              </w:rPr>
              <w:t>1 ≤ f ≤ F</w:t>
            </w:r>
            <w:r>
              <w:rPr>
                <w:rFonts w:cs="Arial"/>
                <w:vertAlign w:val="subscript"/>
              </w:rPr>
              <w:t>DL_low</w:t>
            </w:r>
            <w:r>
              <w:rPr>
                <w:rFonts w:cs="Arial"/>
              </w:rPr>
              <w:t xml:space="preserve"> – </w:t>
            </w:r>
            <w:r>
              <w:rPr>
                <w:rFonts w:hint="eastAsia" w:cs="Arial"/>
                <w:lang w:val="en-US" w:eastAsia="zh-CN"/>
              </w:rPr>
              <w:t>120</w:t>
            </w:r>
          </w:p>
          <w:p w14:paraId="24CA4CC8">
            <w:pPr>
              <w:pStyle w:val="38"/>
              <w:rPr>
                <w:rFonts w:cs="Arial"/>
              </w:rPr>
            </w:pPr>
            <w:r>
              <w:rPr>
                <w:rFonts w:cs="Arial"/>
              </w:rPr>
              <w:t>or</w:t>
            </w:r>
          </w:p>
          <w:p w14:paraId="664AD127">
            <w:pPr>
              <w:pStyle w:val="38"/>
              <w:rPr>
                <w:rFonts w:cs="Arial"/>
              </w:rPr>
            </w:pPr>
            <w:r>
              <w:rPr>
                <w:rFonts w:cs="Arial"/>
              </w:rPr>
              <w:t>F</w:t>
            </w:r>
            <w:r>
              <w:rPr>
                <w:rFonts w:cs="Arial"/>
                <w:vertAlign w:val="subscript"/>
              </w:rPr>
              <w:t>DL_high</w:t>
            </w:r>
            <w:r>
              <w:rPr>
                <w:rFonts w:cs="Arial"/>
              </w:rPr>
              <w:t xml:space="preserve"> + </w:t>
            </w:r>
            <w:r>
              <w:rPr>
                <w:rFonts w:hint="eastAsia" w:cs="Arial"/>
                <w:lang w:val="en-US" w:eastAsia="zh-CN"/>
              </w:rPr>
              <w:t>110</w:t>
            </w:r>
            <w:r>
              <w:rPr>
                <w:rFonts w:cs="Arial"/>
              </w:rPr>
              <w:t xml:space="preserve"> ≤ f</w:t>
            </w:r>
          </w:p>
          <w:p w14:paraId="473CF888">
            <w:pPr>
              <w:pStyle w:val="38"/>
              <w:rPr>
                <w:rFonts w:cs="Arial"/>
              </w:rPr>
            </w:pPr>
            <w:r>
              <w:rPr>
                <w:rFonts w:cs="Arial"/>
              </w:rPr>
              <w:t>≤ 12750</w:t>
            </w:r>
          </w:p>
        </w:tc>
      </w:tr>
    </w:tbl>
    <w:p w14:paraId="6FF68362">
      <w:pPr>
        <w:jc w:val="center"/>
        <w:rPr>
          <w:b/>
          <w:bCs/>
        </w:rPr>
      </w:pPr>
    </w:p>
    <w:p w14:paraId="0093ACB4">
      <w:pPr>
        <w:bidi w:val="0"/>
        <w:rPr>
          <w:rFonts w:hint="eastAsia" w:eastAsia="宋体"/>
          <w:lang w:val="en-US" w:eastAsia="zh-CN"/>
        </w:rPr>
      </w:pPr>
      <w:r>
        <w:rPr>
          <w:rFonts w:hint="eastAsia" w:eastAsia="宋体"/>
          <w:lang w:val="en-US" w:eastAsia="zh-CN"/>
        </w:rPr>
        <w:t>A picture is provided to clarify the revised requirement more clearly in figure 1:</w:t>
      </w:r>
    </w:p>
    <w:p w14:paraId="172492A3">
      <w:pPr>
        <w:bidi w:val="0"/>
      </w:pPr>
      <w:r>
        <w:object>
          <v:shape id="_x0000_i1025" o:spt="75" type="#_x0000_t75" style="height:157.5pt;width:415.15pt;" o:ole="t" filled="f" o:preferrelative="t" stroked="f" coordsize="21600,21600">
            <v:path/>
            <v:fill on="f" focussize="0,0"/>
            <v:stroke on="f"/>
            <v:imagedata r:id="rId6" o:title=""/>
            <o:lock v:ext="edit" aspectratio="f"/>
            <w10:wrap type="none"/>
            <w10:anchorlock/>
          </v:shape>
          <o:OLEObject Type="Embed" ProgID="Visio.Drawing.11" ShapeID="_x0000_i1025" DrawAspect="Content" ObjectID="_1468075725" r:id="rId5">
            <o:LockedField>false</o:LockedField>
          </o:OLEObject>
        </w:object>
      </w:r>
    </w:p>
    <w:p w14:paraId="1EB317D6">
      <w:pPr>
        <w:bidi w:val="0"/>
        <w:jc w:val="center"/>
        <w:rPr>
          <w:rFonts w:hint="default" w:eastAsia="宋体"/>
          <w:lang w:val="en-US" w:eastAsia="zh-CN"/>
        </w:rPr>
      </w:pPr>
      <w:r>
        <w:rPr>
          <w:rFonts w:hint="eastAsia" w:eastAsia="宋体"/>
          <w:lang w:val="en-US" w:eastAsia="zh-CN"/>
        </w:rPr>
        <w:t>Figure 1 illustration of the frequency range of band 246 for OOBB requirement</w:t>
      </w:r>
    </w:p>
    <w:p w14:paraId="6BF0088A">
      <w:pPr>
        <w:bidi w:val="0"/>
        <w:rPr>
          <w:rFonts w:hint="eastAsia" w:cs="Times New Roman"/>
          <w:b w:val="0"/>
          <w:bCs w:val="0"/>
          <w:i w:val="0"/>
          <w:iCs w:val="0"/>
          <w:sz w:val="20"/>
          <w:szCs w:val="20"/>
          <w:highlight w:val="none"/>
          <w:lang w:val="en-US" w:eastAsia="zh-CN"/>
        </w:rPr>
      </w:pPr>
    </w:p>
    <w:p w14:paraId="769516C6">
      <w:pPr>
        <w:bidi w:val="0"/>
        <w:rPr>
          <w:rFonts w:hint="eastAsia"/>
          <w:bCs/>
          <w:i/>
          <w:iCs/>
          <w:lang w:val="en-US" w:eastAsia="zh-CN"/>
        </w:rPr>
      </w:pPr>
      <w:r>
        <w:rPr>
          <w:rFonts w:hint="eastAsia"/>
          <w:b/>
          <w:bCs w:val="0"/>
          <w:i/>
          <w:iCs/>
          <w:lang w:val="en-US" w:eastAsia="zh-CN"/>
        </w:rPr>
        <w:t>Proposal 1</w:t>
      </w:r>
      <w:r>
        <w:rPr>
          <w:rFonts w:hint="eastAsia"/>
          <w:bCs/>
          <w:i/>
          <w:iCs/>
          <w:lang w:val="en-US" w:eastAsia="zh-CN"/>
        </w:rPr>
        <w:t>: To revise the OOBB requirement as follows:</w:t>
      </w:r>
    </w:p>
    <w:p w14:paraId="4A779C39">
      <w:pPr>
        <w:jc w:val="center"/>
        <w:rPr>
          <w:b/>
          <w:bCs/>
        </w:rPr>
      </w:pPr>
      <w:r>
        <w:rPr>
          <w:b/>
          <w:bCs/>
        </w:rPr>
        <w:t>Table 7.6</w:t>
      </w:r>
      <w:r>
        <w:rPr>
          <w:rFonts w:hint="eastAsia" w:eastAsiaTheme="minorEastAsia"/>
          <w:b/>
          <w:bCs/>
          <w:lang w:eastAsia="zh-CN"/>
        </w:rPr>
        <w:t>C</w:t>
      </w:r>
      <w:r>
        <w:rPr>
          <w:b/>
          <w:bCs/>
        </w:rPr>
        <w:t>.</w:t>
      </w:r>
      <w:r>
        <w:rPr>
          <w:rFonts w:hint="eastAsia" w:eastAsiaTheme="minorEastAsia"/>
          <w:b/>
          <w:bCs/>
          <w:lang w:eastAsia="zh-CN"/>
        </w:rPr>
        <w:t>3</w:t>
      </w:r>
      <w:r>
        <w:rPr>
          <w:b/>
          <w:bCs/>
        </w:rPr>
        <w:t>-2: Out of band blocking</w:t>
      </w:r>
    </w:p>
    <w:tbl>
      <w:tblPr>
        <w:tblStyle w:val="18"/>
        <w:tblW w:w="92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488"/>
        <w:gridCol w:w="799"/>
        <w:gridCol w:w="1939"/>
        <w:gridCol w:w="1939"/>
        <w:gridCol w:w="1939"/>
      </w:tblGrid>
      <w:tr w14:paraId="2BCC3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vMerge w:val="restart"/>
            <w:tcBorders>
              <w:top w:val="single" w:color="auto" w:sz="4" w:space="0"/>
              <w:left w:val="single" w:color="auto" w:sz="4" w:space="0"/>
              <w:right w:val="single" w:color="auto" w:sz="4" w:space="0"/>
            </w:tcBorders>
          </w:tcPr>
          <w:p w14:paraId="41D7C745">
            <w:pPr>
              <w:pStyle w:val="37"/>
            </w:pPr>
            <w:r>
              <w:rPr>
                <w:lang w:val="en-US"/>
              </w:rPr>
              <w:t>Operating Band</w:t>
            </w:r>
          </w:p>
        </w:tc>
        <w:tc>
          <w:tcPr>
            <w:tcW w:w="1488" w:type="dxa"/>
            <w:tcBorders>
              <w:top w:val="single" w:color="auto" w:sz="4" w:space="0"/>
              <w:left w:val="single" w:color="auto" w:sz="4" w:space="0"/>
              <w:bottom w:val="single" w:color="auto" w:sz="4" w:space="0"/>
              <w:right w:val="single" w:color="auto" w:sz="4" w:space="0"/>
            </w:tcBorders>
          </w:tcPr>
          <w:p w14:paraId="11F00022">
            <w:pPr>
              <w:pStyle w:val="37"/>
            </w:pPr>
            <w:r>
              <w:t>Parameter</w:t>
            </w:r>
          </w:p>
        </w:tc>
        <w:tc>
          <w:tcPr>
            <w:tcW w:w="799" w:type="dxa"/>
            <w:tcBorders>
              <w:top w:val="single" w:color="auto" w:sz="4" w:space="0"/>
              <w:left w:val="single" w:color="auto" w:sz="4" w:space="0"/>
              <w:bottom w:val="single" w:color="auto" w:sz="4" w:space="0"/>
              <w:right w:val="single" w:color="auto" w:sz="4" w:space="0"/>
            </w:tcBorders>
          </w:tcPr>
          <w:p w14:paraId="57FEF004">
            <w:pPr>
              <w:pStyle w:val="37"/>
            </w:pPr>
            <w:r>
              <w:t>Unit</w:t>
            </w:r>
          </w:p>
        </w:tc>
        <w:tc>
          <w:tcPr>
            <w:tcW w:w="1939" w:type="dxa"/>
            <w:tcBorders>
              <w:top w:val="single" w:color="auto" w:sz="4" w:space="0"/>
              <w:left w:val="single" w:color="auto" w:sz="4" w:space="0"/>
              <w:bottom w:val="single" w:color="auto" w:sz="4" w:space="0"/>
              <w:right w:val="single" w:color="auto" w:sz="4" w:space="0"/>
            </w:tcBorders>
          </w:tcPr>
          <w:p w14:paraId="5DF62234">
            <w:pPr>
              <w:pStyle w:val="37"/>
            </w:pPr>
            <w:r>
              <w:t>Range 1</w:t>
            </w:r>
          </w:p>
        </w:tc>
        <w:tc>
          <w:tcPr>
            <w:tcW w:w="1939" w:type="dxa"/>
            <w:tcBorders>
              <w:top w:val="single" w:color="auto" w:sz="4" w:space="0"/>
              <w:left w:val="single" w:color="auto" w:sz="4" w:space="0"/>
              <w:bottom w:val="single" w:color="auto" w:sz="4" w:space="0"/>
              <w:right w:val="single" w:color="auto" w:sz="4" w:space="0"/>
            </w:tcBorders>
          </w:tcPr>
          <w:p w14:paraId="23972903">
            <w:pPr>
              <w:pStyle w:val="37"/>
            </w:pPr>
            <w:r>
              <w:t>Range 2</w:t>
            </w:r>
          </w:p>
        </w:tc>
        <w:tc>
          <w:tcPr>
            <w:tcW w:w="1939" w:type="dxa"/>
            <w:tcBorders>
              <w:top w:val="single" w:color="auto" w:sz="4" w:space="0"/>
              <w:left w:val="single" w:color="auto" w:sz="4" w:space="0"/>
              <w:bottom w:val="single" w:color="auto" w:sz="4" w:space="0"/>
              <w:right w:val="single" w:color="auto" w:sz="4" w:space="0"/>
            </w:tcBorders>
          </w:tcPr>
          <w:p w14:paraId="26C7749A">
            <w:pPr>
              <w:pStyle w:val="37"/>
            </w:pPr>
            <w:r>
              <w:t>Range 3</w:t>
            </w:r>
          </w:p>
        </w:tc>
      </w:tr>
      <w:tr w14:paraId="2612F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vMerge w:val="continue"/>
            <w:tcBorders>
              <w:left w:val="single" w:color="auto" w:sz="4" w:space="0"/>
              <w:right w:val="single" w:color="auto" w:sz="4" w:space="0"/>
            </w:tcBorders>
          </w:tcPr>
          <w:p w14:paraId="427C39FB">
            <w:pPr>
              <w:pStyle w:val="37"/>
              <w:rPr>
                <w:lang w:val="en-US"/>
              </w:rPr>
            </w:pPr>
          </w:p>
        </w:tc>
        <w:tc>
          <w:tcPr>
            <w:tcW w:w="1488" w:type="dxa"/>
            <w:tcBorders>
              <w:top w:val="single" w:color="auto" w:sz="4" w:space="0"/>
              <w:left w:val="single" w:color="auto" w:sz="4" w:space="0"/>
              <w:bottom w:val="single" w:color="auto" w:sz="4" w:space="0"/>
              <w:right w:val="single" w:color="auto" w:sz="4" w:space="0"/>
            </w:tcBorders>
            <w:vAlign w:val="center"/>
          </w:tcPr>
          <w:p w14:paraId="038016B5">
            <w:pPr>
              <w:pStyle w:val="38"/>
              <w:rPr>
                <w:rFonts w:cs="Arial"/>
                <w:lang w:val="en-US"/>
              </w:rPr>
            </w:pPr>
            <w:r>
              <w:rPr>
                <w:rFonts w:cs="Arial"/>
                <w:lang w:val="en-US"/>
              </w:rPr>
              <w:t>P</w:t>
            </w:r>
            <w:r>
              <w:rPr>
                <w:rFonts w:cs="Arial"/>
                <w:vertAlign w:val="subscript"/>
                <w:lang w:val="en-US"/>
              </w:rPr>
              <w:t>w</w:t>
            </w:r>
          </w:p>
        </w:tc>
        <w:tc>
          <w:tcPr>
            <w:tcW w:w="799" w:type="dxa"/>
            <w:tcBorders>
              <w:top w:val="single" w:color="auto" w:sz="4" w:space="0"/>
              <w:left w:val="single" w:color="auto" w:sz="4" w:space="0"/>
              <w:bottom w:val="single" w:color="auto" w:sz="4" w:space="0"/>
              <w:right w:val="single" w:color="auto" w:sz="4" w:space="0"/>
            </w:tcBorders>
            <w:vAlign w:val="center"/>
          </w:tcPr>
          <w:p w14:paraId="6BE1182E">
            <w:pPr>
              <w:pStyle w:val="38"/>
              <w:rPr>
                <w:rFonts w:cs="Arial"/>
                <w:lang w:val="en-US"/>
              </w:rPr>
            </w:pPr>
            <w:r>
              <w:rPr>
                <w:rFonts w:cs="Arial"/>
                <w:lang w:val="en-US"/>
              </w:rPr>
              <w:t>dBm</w:t>
            </w:r>
          </w:p>
        </w:tc>
        <w:tc>
          <w:tcPr>
            <w:tcW w:w="5817" w:type="dxa"/>
            <w:gridSpan w:val="3"/>
            <w:tcBorders>
              <w:top w:val="single" w:color="auto" w:sz="4" w:space="0"/>
              <w:left w:val="single" w:color="auto" w:sz="4" w:space="0"/>
              <w:bottom w:val="single" w:color="auto" w:sz="4" w:space="0"/>
              <w:right w:val="single" w:color="auto" w:sz="4" w:space="0"/>
            </w:tcBorders>
            <w:vAlign w:val="center"/>
          </w:tcPr>
          <w:p w14:paraId="7B07FCE5">
            <w:pPr>
              <w:pStyle w:val="37"/>
            </w:pPr>
            <w:r>
              <w:rPr>
                <w:rFonts w:cs="Arial"/>
                <w:lang w:val="en-US"/>
              </w:rPr>
              <w:t>REFSENS + 6 dB</w:t>
            </w:r>
          </w:p>
        </w:tc>
      </w:tr>
      <w:tr w14:paraId="58E2C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vMerge w:val="continue"/>
            <w:tcBorders>
              <w:left w:val="single" w:color="auto" w:sz="4" w:space="0"/>
              <w:bottom w:val="single" w:color="auto" w:sz="4" w:space="0"/>
              <w:right w:val="single" w:color="auto" w:sz="4" w:space="0"/>
            </w:tcBorders>
          </w:tcPr>
          <w:p w14:paraId="05EEA51B"/>
        </w:tc>
        <w:tc>
          <w:tcPr>
            <w:tcW w:w="1488" w:type="dxa"/>
            <w:tcBorders>
              <w:top w:val="single" w:color="auto" w:sz="4" w:space="0"/>
              <w:left w:val="single" w:color="auto" w:sz="4" w:space="0"/>
              <w:bottom w:val="single" w:color="auto" w:sz="4" w:space="0"/>
              <w:right w:val="single" w:color="auto" w:sz="4" w:space="0"/>
            </w:tcBorders>
          </w:tcPr>
          <w:p w14:paraId="566E33AB">
            <w:pPr>
              <w:pStyle w:val="38"/>
              <w:rPr>
                <w:lang w:val="sv-SE"/>
              </w:rPr>
            </w:pPr>
            <w:r>
              <w:rPr>
                <w:lang w:val="sv-SE"/>
              </w:rPr>
              <w:t>P</w:t>
            </w:r>
            <w:r>
              <w:rPr>
                <w:vertAlign w:val="subscript"/>
                <w:lang w:val="sv-SE"/>
              </w:rPr>
              <w:t>interferer</w:t>
            </w:r>
          </w:p>
        </w:tc>
        <w:tc>
          <w:tcPr>
            <w:tcW w:w="799" w:type="dxa"/>
            <w:tcBorders>
              <w:top w:val="single" w:color="auto" w:sz="4" w:space="0"/>
              <w:left w:val="single" w:color="auto" w:sz="4" w:space="0"/>
              <w:bottom w:val="single" w:color="auto" w:sz="4" w:space="0"/>
              <w:right w:val="single" w:color="auto" w:sz="4" w:space="0"/>
            </w:tcBorders>
          </w:tcPr>
          <w:p w14:paraId="46B3380B">
            <w:pPr>
              <w:pStyle w:val="38"/>
              <w:rPr>
                <w:lang w:val="sv-SE"/>
              </w:rPr>
            </w:pPr>
            <w:r>
              <w:rPr>
                <w:lang w:val="sv-SE"/>
              </w:rPr>
              <w:t>dBm</w:t>
            </w:r>
          </w:p>
        </w:tc>
        <w:tc>
          <w:tcPr>
            <w:tcW w:w="1939" w:type="dxa"/>
            <w:tcBorders>
              <w:top w:val="single" w:color="auto" w:sz="4" w:space="0"/>
              <w:left w:val="single" w:color="auto" w:sz="4" w:space="0"/>
              <w:bottom w:val="single" w:color="auto" w:sz="4" w:space="0"/>
              <w:right w:val="single" w:color="auto" w:sz="4" w:space="0"/>
            </w:tcBorders>
          </w:tcPr>
          <w:p w14:paraId="1C034B02">
            <w:pPr>
              <w:pStyle w:val="38"/>
            </w:pPr>
            <w:r>
              <w:t>-44</w:t>
            </w:r>
          </w:p>
        </w:tc>
        <w:tc>
          <w:tcPr>
            <w:tcW w:w="1939" w:type="dxa"/>
            <w:tcBorders>
              <w:top w:val="single" w:color="auto" w:sz="4" w:space="0"/>
              <w:left w:val="single" w:color="auto" w:sz="4" w:space="0"/>
              <w:bottom w:val="single" w:color="auto" w:sz="4" w:space="0"/>
              <w:right w:val="single" w:color="auto" w:sz="4" w:space="0"/>
            </w:tcBorders>
          </w:tcPr>
          <w:p w14:paraId="15914370">
            <w:pPr>
              <w:pStyle w:val="38"/>
            </w:pPr>
            <w:r>
              <w:t>-30</w:t>
            </w:r>
          </w:p>
        </w:tc>
        <w:tc>
          <w:tcPr>
            <w:tcW w:w="1939" w:type="dxa"/>
            <w:tcBorders>
              <w:top w:val="single" w:color="auto" w:sz="4" w:space="0"/>
              <w:left w:val="single" w:color="auto" w:sz="4" w:space="0"/>
              <w:bottom w:val="single" w:color="auto" w:sz="4" w:space="0"/>
              <w:right w:val="single" w:color="auto" w:sz="4" w:space="0"/>
            </w:tcBorders>
          </w:tcPr>
          <w:p w14:paraId="13BEF449">
            <w:pPr>
              <w:pStyle w:val="38"/>
            </w:pPr>
            <w:r>
              <w:rPr>
                <w:lang w:val="sv-SE"/>
              </w:rPr>
              <w:t>-15</w:t>
            </w:r>
          </w:p>
        </w:tc>
      </w:tr>
      <w:tr w14:paraId="6028E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14:paraId="3D7B47A9">
            <w:pPr>
              <w:pStyle w:val="38"/>
              <w:rPr>
                <w:rFonts w:hint="default"/>
                <w:lang w:val="en-US"/>
              </w:rPr>
            </w:pPr>
            <w:r>
              <w:rPr>
                <w:rFonts w:hint="eastAsia" w:eastAsia="宋体"/>
                <w:lang w:val="en-US" w:eastAsia="zh-CN"/>
              </w:rPr>
              <w:t>2</w:t>
            </w:r>
            <w:r>
              <w:rPr>
                <w:rFonts w:hint="eastAsia"/>
                <w:lang w:val="en-US" w:eastAsia="zh-CN"/>
              </w:rPr>
              <w:t>46</w:t>
            </w:r>
          </w:p>
        </w:tc>
        <w:tc>
          <w:tcPr>
            <w:tcW w:w="1488" w:type="dxa"/>
            <w:tcBorders>
              <w:top w:val="single" w:color="auto" w:sz="4" w:space="0"/>
              <w:left w:val="single" w:color="auto" w:sz="4" w:space="0"/>
              <w:bottom w:val="single" w:color="auto" w:sz="4" w:space="0"/>
              <w:right w:val="single" w:color="auto" w:sz="4" w:space="0"/>
            </w:tcBorders>
          </w:tcPr>
          <w:p w14:paraId="7CF1C91F">
            <w:pPr>
              <w:pStyle w:val="38"/>
              <w:rPr>
                <w:lang w:val="sv-SE"/>
              </w:rPr>
            </w:pPr>
            <w:r>
              <w:rPr>
                <w:lang w:val="sv-SE"/>
              </w:rPr>
              <w:t>F</w:t>
            </w:r>
            <w:r>
              <w:rPr>
                <w:vertAlign w:val="subscript"/>
                <w:lang w:val="sv-SE"/>
              </w:rPr>
              <w:t>interferer</w:t>
            </w:r>
            <w:r>
              <w:rPr>
                <w:lang w:val="sv-SE"/>
              </w:rPr>
              <w:t xml:space="preserve"> (CW)</w:t>
            </w:r>
          </w:p>
        </w:tc>
        <w:tc>
          <w:tcPr>
            <w:tcW w:w="799" w:type="dxa"/>
            <w:tcBorders>
              <w:top w:val="single" w:color="auto" w:sz="4" w:space="0"/>
              <w:left w:val="single" w:color="auto" w:sz="4" w:space="0"/>
              <w:bottom w:val="single" w:color="auto" w:sz="4" w:space="0"/>
              <w:right w:val="single" w:color="auto" w:sz="4" w:space="0"/>
            </w:tcBorders>
          </w:tcPr>
          <w:p w14:paraId="1D4BED26">
            <w:pPr>
              <w:pStyle w:val="38"/>
              <w:rPr>
                <w:lang w:val="sv-SE"/>
              </w:rPr>
            </w:pPr>
            <w:r>
              <w:rPr>
                <w:lang w:val="sv-SE"/>
              </w:rPr>
              <w:t>MHz</w:t>
            </w:r>
          </w:p>
        </w:tc>
        <w:tc>
          <w:tcPr>
            <w:tcW w:w="1939" w:type="dxa"/>
            <w:tcBorders>
              <w:top w:val="single" w:color="auto" w:sz="4" w:space="0"/>
              <w:left w:val="single" w:color="auto" w:sz="4" w:space="0"/>
              <w:bottom w:val="single" w:color="auto" w:sz="4" w:space="0"/>
              <w:right w:val="single" w:color="auto" w:sz="4" w:space="0"/>
            </w:tcBorders>
          </w:tcPr>
          <w:p w14:paraId="01FBF9D9">
            <w:pPr>
              <w:pStyle w:val="38"/>
              <w:rPr>
                <w:rFonts w:cs="Arial"/>
              </w:rPr>
            </w:pPr>
            <w:r>
              <w:rPr>
                <w:rFonts w:cs="Arial"/>
              </w:rPr>
              <w:t>-</w:t>
            </w:r>
            <w:r>
              <w:rPr>
                <w:rFonts w:hint="eastAsia" w:cs="Arial"/>
                <w:lang w:val="en-US" w:eastAsia="zh-CN"/>
              </w:rPr>
              <w:t>95</w:t>
            </w:r>
            <w:r>
              <w:rPr>
                <w:rFonts w:cs="Arial"/>
              </w:rPr>
              <w:t xml:space="preserve"> &lt; f – F</w:t>
            </w:r>
            <w:r>
              <w:rPr>
                <w:rFonts w:cs="Arial"/>
                <w:vertAlign w:val="subscript"/>
              </w:rPr>
              <w:t>DL_low</w:t>
            </w:r>
            <w:r>
              <w:rPr>
                <w:rFonts w:cs="Arial"/>
              </w:rPr>
              <w:t xml:space="preserve"> &lt; -15</w:t>
            </w:r>
          </w:p>
          <w:p w14:paraId="77F09C55">
            <w:pPr>
              <w:pStyle w:val="38"/>
              <w:rPr>
                <w:rFonts w:cs="Arial"/>
              </w:rPr>
            </w:pPr>
            <w:r>
              <w:rPr>
                <w:rFonts w:cs="Arial"/>
              </w:rPr>
              <w:t>or</w:t>
            </w:r>
          </w:p>
          <w:p w14:paraId="5C37FD93">
            <w:pPr>
              <w:pStyle w:val="38"/>
              <w:rPr>
                <w:rFonts w:hint="default" w:eastAsia="宋体" w:cs="Arial"/>
                <w:lang w:val="en-US" w:eastAsia="zh-CN"/>
              </w:rPr>
            </w:pPr>
            <w:r>
              <w:rPr>
                <w:rFonts w:cs="Arial"/>
              </w:rPr>
              <w:t>15 &lt; f – F</w:t>
            </w:r>
            <w:r>
              <w:rPr>
                <w:rFonts w:cs="Arial"/>
                <w:vertAlign w:val="subscript"/>
              </w:rPr>
              <w:t>DL_high</w:t>
            </w:r>
            <w:r>
              <w:rPr>
                <w:rFonts w:cs="Arial"/>
              </w:rPr>
              <w:t xml:space="preserve"> &lt; </w:t>
            </w:r>
            <w:r>
              <w:rPr>
                <w:rFonts w:hint="eastAsia" w:cs="Arial"/>
                <w:lang w:val="en-US" w:eastAsia="zh-CN"/>
              </w:rPr>
              <w:t>85</w:t>
            </w:r>
          </w:p>
        </w:tc>
        <w:tc>
          <w:tcPr>
            <w:tcW w:w="1939" w:type="dxa"/>
            <w:tcBorders>
              <w:top w:val="single" w:color="auto" w:sz="4" w:space="0"/>
              <w:left w:val="single" w:color="auto" w:sz="4" w:space="0"/>
              <w:bottom w:val="single" w:color="auto" w:sz="4" w:space="0"/>
              <w:right w:val="single" w:color="auto" w:sz="4" w:space="0"/>
            </w:tcBorders>
          </w:tcPr>
          <w:p w14:paraId="73D1F421">
            <w:pPr>
              <w:pStyle w:val="38"/>
              <w:rPr>
                <w:rFonts w:hint="default" w:eastAsia="宋体" w:cs="Arial"/>
                <w:lang w:val="en-US" w:eastAsia="zh-CN"/>
              </w:rPr>
            </w:pPr>
            <w:r>
              <w:rPr>
                <w:rFonts w:cs="Arial"/>
              </w:rPr>
              <w:t>-</w:t>
            </w:r>
            <w:r>
              <w:rPr>
                <w:rFonts w:hint="eastAsia" w:cs="Arial"/>
                <w:lang w:val="en-US" w:eastAsia="zh-CN"/>
              </w:rPr>
              <w:t>9</w:t>
            </w:r>
            <w:r>
              <w:rPr>
                <w:rFonts w:cs="Arial"/>
              </w:rPr>
              <w:t>5 &lt; f – F</w:t>
            </w:r>
            <w:r>
              <w:rPr>
                <w:rFonts w:cs="Arial"/>
                <w:vertAlign w:val="subscript"/>
              </w:rPr>
              <w:t>DL_low</w:t>
            </w:r>
            <w:r>
              <w:rPr>
                <w:rFonts w:cs="Arial"/>
              </w:rPr>
              <w:t xml:space="preserve"> ≤ -</w:t>
            </w:r>
            <w:r>
              <w:rPr>
                <w:rFonts w:hint="eastAsia" w:cs="Arial"/>
                <w:lang w:val="en-US" w:eastAsia="zh-CN"/>
              </w:rPr>
              <w:t>120</w:t>
            </w:r>
          </w:p>
          <w:p w14:paraId="75BCABF0">
            <w:pPr>
              <w:pStyle w:val="38"/>
              <w:rPr>
                <w:rFonts w:cs="Arial"/>
              </w:rPr>
            </w:pPr>
            <w:r>
              <w:rPr>
                <w:rFonts w:cs="Arial"/>
              </w:rPr>
              <w:t>or</w:t>
            </w:r>
          </w:p>
          <w:p w14:paraId="32FC3D45">
            <w:pPr>
              <w:pStyle w:val="38"/>
              <w:rPr>
                <w:rFonts w:hint="default" w:eastAsia="宋体" w:cs="Arial"/>
                <w:lang w:val="en-US" w:eastAsia="zh-CN"/>
              </w:rPr>
            </w:pPr>
            <w:r>
              <w:rPr>
                <w:rFonts w:hint="eastAsia" w:cs="Arial"/>
                <w:lang w:val="en-US" w:eastAsia="zh-CN"/>
              </w:rPr>
              <w:t>85</w:t>
            </w:r>
            <w:r>
              <w:rPr>
                <w:rFonts w:cs="Arial"/>
              </w:rPr>
              <w:t xml:space="preserve"> ≤ f – F</w:t>
            </w:r>
            <w:r>
              <w:rPr>
                <w:rFonts w:cs="Arial"/>
                <w:vertAlign w:val="subscript"/>
              </w:rPr>
              <w:t>DL_high</w:t>
            </w:r>
            <w:r>
              <w:rPr>
                <w:rFonts w:cs="Arial"/>
              </w:rPr>
              <w:t xml:space="preserve"> &lt; </w:t>
            </w:r>
            <w:r>
              <w:rPr>
                <w:rFonts w:hint="eastAsia" w:cs="Arial"/>
                <w:lang w:val="en-US" w:eastAsia="zh-CN"/>
              </w:rPr>
              <w:t>110</w:t>
            </w:r>
          </w:p>
        </w:tc>
        <w:tc>
          <w:tcPr>
            <w:tcW w:w="1939" w:type="dxa"/>
            <w:tcBorders>
              <w:top w:val="single" w:color="auto" w:sz="4" w:space="0"/>
              <w:left w:val="single" w:color="auto" w:sz="4" w:space="0"/>
              <w:bottom w:val="single" w:color="auto" w:sz="4" w:space="0"/>
              <w:right w:val="single" w:color="auto" w:sz="4" w:space="0"/>
            </w:tcBorders>
          </w:tcPr>
          <w:p w14:paraId="01E38345">
            <w:pPr>
              <w:pStyle w:val="38"/>
              <w:rPr>
                <w:rFonts w:hint="default" w:eastAsia="宋体" w:cs="Arial"/>
                <w:lang w:val="en-US" w:eastAsia="zh-CN"/>
              </w:rPr>
            </w:pPr>
            <w:r>
              <w:rPr>
                <w:rFonts w:cs="Arial"/>
              </w:rPr>
              <w:t>1 ≤ f ≤ F</w:t>
            </w:r>
            <w:r>
              <w:rPr>
                <w:rFonts w:cs="Arial"/>
                <w:vertAlign w:val="subscript"/>
              </w:rPr>
              <w:t>DL_low</w:t>
            </w:r>
            <w:r>
              <w:rPr>
                <w:rFonts w:cs="Arial"/>
              </w:rPr>
              <w:t xml:space="preserve"> – </w:t>
            </w:r>
            <w:r>
              <w:rPr>
                <w:rFonts w:hint="eastAsia" w:cs="Arial"/>
                <w:lang w:val="en-US" w:eastAsia="zh-CN"/>
              </w:rPr>
              <w:t>120</w:t>
            </w:r>
          </w:p>
          <w:p w14:paraId="1048EDF5">
            <w:pPr>
              <w:pStyle w:val="38"/>
              <w:rPr>
                <w:rFonts w:cs="Arial"/>
              </w:rPr>
            </w:pPr>
            <w:r>
              <w:rPr>
                <w:rFonts w:cs="Arial"/>
              </w:rPr>
              <w:t>or</w:t>
            </w:r>
          </w:p>
          <w:p w14:paraId="6F680B24">
            <w:pPr>
              <w:pStyle w:val="38"/>
              <w:rPr>
                <w:rFonts w:cs="Arial"/>
              </w:rPr>
            </w:pPr>
            <w:r>
              <w:rPr>
                <w:rFonts w:cs="Arial"/>
              </w:rPr>
              <w:t>F</w:t>
            </w:r>
            <w:r>
              <w:rPr>
                <w:rFonts w:cs="Arial"/>
                <w:vertAlign w:val="subscript"/>
              </w:rPr>
              <w:t>DL_high</w:t>
            </w:r>
            <w:r>
              <w:rPr>
                <w:rFonts w:cs="Arial"/>
              </w:rPr>
              <w:t xml:space="preserve"> + </w:t>
            </w:r>
            <w:r>
              <w:rPr>
                <w:rFonts w:hint="eastAsia" w:cs="Arial"/>
                <w:lang w:val="en-US" w:eastAsia="zh-CN"/>
              </w:rPr>
              <w:t>110</w:t>
            </w:r>
            <w:r>
              <w:rPr>
                <w:rFonts w:cs="Arial"/>
              </w:rPr>
              <w:t xml:space="preserve"> ≤ f</w:t>
            </w:r>
          </w:p>
          <w:p w14:paraId="7DFCE764">
            <w:pPr>
              <w:pStyle w:val="38"/>
              <w:rPr>
                <w:rFonts w:cs="Arial"/>
              </w:rPr>
            </w:pPr>
            <w:r>
              <w:rPr>
                <w:rFonts w:cs="Arial"/>
              </w:rPr>
              <w:t>≤ 12750</w:t>
            </w:r>
          </w:p>
        </w:tc>
      </w:tr>
    </w:tbl>
    <w:p w14:paraId="51BB6C8B">
      <w:pPr>
        <w:bidi w:val="0"/>
        <w:rPr>
          <w:rFonts w:hint="eastAsia" w:eastAsia="宋体"/>
          <w:lang w:val="en-US" w:eastAsia="zh-CN"/>
        </w:rPr>
      </w:pPr>
    </w:p>
    <w:p w14:paraId="4C462E69">
      <w:pPr>
        <w:pStyle w:val="3"/>
        <w:bidi w:val="0"/>
        <w:rPr>
          <w:rFonts w:hint="eastAsia"/>
          <w:lang w:val="en-US" w:eastAsia="zh-CN"/>
        </w:rPr>
      </w:pPr>
      <w:r>
        <w:rPr>
          <w:rFonts w:hint="eastAsia"/>
          <w:lang w:val="en-US" w:eastAsia="zh-CN"/>
        </w:rPr>
        <w:t>2.2 Reference measurement channels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5D48C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720D4D71">
            <w:pPr>
              <w:rPr>
                <w:b/>
                <w:sz w:val="20"/>
                <w:szCs w:val="20"/>
                <w:u w:val="single"/>
                <w:lang w:eastAsia="zh-CN"/>
              </w:rPr>
            </w:pPr>
            <w:r>
              <w:rPr>
                <w:b/>
                <w:sz w:val="20"/>
                <w:szCs w:val="20"/>
                <w:u w:val="single"/>
                <w:lang w:eastAsia="ko-KR"/>
              </w:rPr>
              <w:t xml:space="preserve">Issue </w:t>
            </w:r>
            <w:r>
              <w:rPr>
                <w:rFonts w:hint="eastAsia"/>
                <w:b/>
                <w:sz w:val="20"/>
                <w:szCs w:val="20"/>
                <w:u w:val="single"/>
                <w:lang w:eastAsia="zh-CN"/>
              </w:rPr>
              <w:t>3</w:t>
            </w:r>
            <w:r>
              <w:rPr>
                <w:b/>
                <w:sz w:val="20"/>
                <w:szCs w:val="20"/>
                <w:u w:val="single"/>
                <w:lang w:eastAsia="ko-KR"/>
              </w:rPr>
              <w:t>-</w:t>
            </w:r>
            <w:r>
              <w:rPr>
                <w:rFonts w:hint="eastAsia"/>
                <w:b/>
                <w:sz w:val="20"/>
                <w:szCs w:val="20"/>
                <w:u w:val="single"/>
                <w:lang w:eastAsia="zh-CN"/>
              </w:rPr>
              <w:t>1-10</w:t>
            </w:r>
            <w:r>
              <w:rPr>
                <w:b/>
                <w:sz w:val="20"/>
                <w:szCs w:val="20"/>
                <w:u w:val="single"/>
                <w:lang w:eastAsia="ko-KR"/>
              </w:rPr>
              <w:t xml:space="preserve">: </w:t>
            </w:r>
            <w:r>
              <w:rPr>
                <w:rFonts w:hint="eastAsia"/>
                <w:b/>
                <w:sz w:val="20"/>
                <w:szCs w:val="20"/>
                <w:u w:val="single"/>
                <w:lang w:eastAsia="zh-CN"/>
              </w:rPr>
              <w:t>R</w:t>
            </w:r>
            <w:r>
              <w:rPr>
                <w:b/>
                <w:sz w:val="20"/>
                <w:szCs w:val="20"/>
                <w:u w:val="single"/>
                <w:lang w:eastAsia="zh-CN"/>
              </w:rPr>
              <w:t>eference measurement channels</w:t>
            </w:r>
          </w:p>
          <w:p w14:paraId="446FD5A7">
            <w:pPr>
              <w:pStyle w:val="32"/>
              <w:numPr>
                <w:ilvl w:val="0"/>
                <w:numId w:val="5"/>
              </w:numPr>
              <w:overflowPunct/>
              <w:autoSpaceDE/>
              <w:autoSpaceDN/>
              <w:adjustRightInd/>
              <w:spacing w:after="120"/>
              <w:ind w:left="720" w:firstLineChars="0"/>
              <w:textAlignment w:val="auto"/>
              <w:rPr>
                <w:rFonts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Agreement:</w:t>
            </w:r>
          </w:p>
          <w:p w14:paraId="6409E29D">
            <w:pPr>
              <w:pStyle w:val="32"/>
              <w:numPr>
                <w:ilvl w:val="1"/>
                <w:numId w:val="5"/>
              </w:numPr>
              <w:overflowPunct/>
              <w:autoSpaceDE/>
              <w:autoSpaceDN/>
              <w:adjustRightInd/>
              <w:spacing w:after="120"/>
              <w:ind w:left="1440" w:firstLineChars="0"/>
              <w:textAlignment w:val="auto"/>
              <w:rPr>
                <w:rFonts w:ascii="Times New Roman" w:hAnsi="Times New Roman" w:cs="Times New Roman"/>
                <w:sz w:val="20"/>
                <w:szCs w:val="20"/>
              </w:rPr>
            </w:pPr>
            <w:r>
              <w:rPr>
                <w:rFonts w:hint="default" w:ascii="Times New Roman" w:hAnsi="Times New Roman" w:cs="Times New Roman" w:eastAsiaTheme="minorEastAsia"/>
                <w:sz w:val="20"/>
                <w:szCs w:val="20"/>
                <w:lang w:eastAsia="zh-CN"/>
              </w:rPr>
              <w:t>T</w:t>
            </w:r>
            <w:r>
              <w:rPr>
                <w:rFonts w:ascii="Times New Roman" w:hAnsi="Times New Roman" w:cs="Times New Roman" w:eastAsiaTheme="minorEastAsia"/>
                <w:sz w:val="20"/>
                <w:szCs w:val="20"/>
                <w:lang w:eastAsia="zh-CN"/>
              </w:rPr>
              <w:t>o specify the RMC</w:t>
            </w:r>
            <w:r>
              <w:rPr>
                <w:rFonts w:hint="default" w:ascii="Times New Roman" w:hAnsi="Times New Roman" w:cs="Times New Roman" w:eastAsiaTheme="minorEastAsia"/>
                <w:sz w:val="20"/>
                <w:szCs w:val="20"/>
                <w:lang w:eastAsia="zh-CN"/>
              </w:rPr>
              <w:t xml:space="preserve"> of 15kHz SCS</w:t>
            </w:r>
            <w:r>
              <w:rPr>
                <w:rFonts w:ascii="Times New Roman" w:hAnsi="Times New Roman" w:cs="Times New Roman" w:eastAsiaTheme="minorEastAsia"/>
                <w:sz w:val="20"/>
                <w:szCs w:val="20"/>
                <w:lang w:eastAsia="zh-CN"/>
              </w:rPr>
              <w:t xml:space="preserve"> for 10MHz PMCH in TS 36.102 as following</w:t>
            </w:r>
            <w:r>
              <w:rPr>
                <w:rFonts w:hint="default" w:ascii="Times New Roman" w:hAnsi="Times New Roman" w:cs="Times New Roman" w:eastAsiaTheme="minorEastAsia"/>
                <w:sz w:val="20"/>
                <w:szCs w:val="20"/>
                <w:lang w:eastAsia="zh-CN"/>
              </w:rPr>
              <w:t xml:space="preserve"> tables as the baseline. FFS on other SCSs</w:t>
            </w:r>
          </w:p>
          <w:p w14:paraId="51A50FA2">
            <w:pPr>
              <w:spacing w:after="120"/>
            </w:pPr>
          </w:p>
          <w:p w14:paraId="7B855B4B">
            <w:pPr>
              <w:pStyle w:val="40"/>
              <w:rPr>
                <w:rFonts w:eastAsiaTheme="minorEastAsia"/>
                <w:lang w:eastAsia="zh-CN"/>
              </w:rPr>
            </w:pPr>
            <w:r>
              <w:t>Table A.</w:t>
            </w:r>
            <w:r>
              <w:rPr>
                <w:rFonts w:hint="eastAsia" w:eastAsiaTheme="minorEastAsia"/>
                <w:lang w:eastAsia="zh-CN"/>
              </w:rPr>
              <w:t>1</w:t>
            </w:r>
            <w:r>
              <w:t>.</w:t>
            </w:r>
            <w:r>
              <w:rPr>
                <w:rFonts w:hint="eastAsia" w:eastAsiaTheme="minorEastAsia"/>
                <w:lang w:eastAsia="zh-CN"/>
              </w:rPr>
              <w:t>3</w:t>
            </w:r>
            <w:r>
              <w:t>.1-1 Fixed Reference Channel for PMCH Receiver Requirements (15 kHz SCS)</w:t>
            </w:r>
          </w:p>
          <w:tbl>
            <w:tblPr>
              <w:tblStyle w:val="18"/>
              <w:tblW w:w="7197" w:type="dxa"/>
              <w:jc w:val="center"/>
              <w:tblLayout w:type="autofit"/>
              <w:tblCellMar>
                <w:top w:w="0" w:type="dxa"/>
                <w:left w:w="0" w:type="dxa"/>
                <w:bottom w:w="0" w:type="dxa"/>
                <w:right w:w="0" w:type="dxa"/>
              </w:tblCellMar>
            </w:tblPr>
            <w:tblGrid>
              <w:gridCol w:w="2165"/>
              <w:gridCol w:w="586"/>
              <w:gridCol w:w="2445"/>
              <w:gridCol w:w="2001"/>
            </w:tblGrid>
            <w:tr w14:paraId="3886ABBA">
              <w:tblPrEx>
                <w:tblCellMar>
                  <w:top w:w="0" w:type="dxa"/>
                  <w:left w:w="0" w:type="dxa"/>
                  <w:bottom w:w="0" w:type="dxa"/>
                  <w:right w:w="0" w:type="dxa"/>
                </w:tblCellMar>
              </w:tblPrEx>
              <w:trPr>
                <w:trHeight w:val="163" w:hRule="atLeast"/>
                <w:jc w:val="center"/>
              </w:trPr>
              <w:tc>
                <w:tcPr>
                  <w:tcW w:w="2177"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34CB53D">
                  <w:pPr>
                    <w:pStyle w:val="37"/>
                  </w:pPr>
                  <w:r>
                    <w:t>Parameter</w:t>
                  </w:r>
                </w:p>
              </w:tc>
              <w:tc>
                <w:tcPr>
                  <w:tcW w:w="5020" w:type="dxa"/>
                  <w:gridSpan w:val="3"/>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97A2F68">
                  <w:pPr>
                    <w:pStyle w:val="37"/>
                  </w:pPr>
                  <w:r>
                    <w:t>PMCH (15 kHz SCS)</w:t>
                  </w:r>
                </w:p>
              </w:tc>
            </w:tr>
            <w:tr w14:paraId="10504676">
              <w:tblPrEx>
                <w:tblCellMar>
                  <w:top w:w="0" w:type="dxa"/>
                  <w:left w:w="0" w:type="dxa"/>
                  <w:bottom w:w="0" w:type="dxa"/>
                  <w:right w:w="0" w:type="dxa"/>
                </w:tblCellMar>
              </w:tblPrEx>
              <w:trPr>
                <w:trHeight w:val="27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1A96160">
                  <w:pPr>
                    <w:pStyle w:val="37"/>
                    <w:rPr>
                      <w:rFonts w:eastAsiaTheme="minorHAnsi"/>
                      <w:bCs/>
                      <w:szCs w:val="18"/>
                      <w:lang w:eastAsia="ko-KR"/>
                    </w:rPr>
                  </w:pPr>
                </w:p>
              </w:tc>
              <w:tc>
                <w:tcPr>
                  <w:tcW w:w="5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E6F57FF">
                  <w:pPr>
                    <w:pStyle w:val="37"/>
                  </w:pPr>
                  <w:r>
                    <w:t>Unit</w:t>
                  </w:r>
                </w:p>
              </w:tc>
              <w:tc>
                <w:tcPr>
                  <w:tcW w:w="450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84555ED">
                  <w:pPr>
                    <w:pStyle w:val="37"/>
                  </w:pPr>
                  <w:r>
                    <w:t>Value</w:t>
                  </w:r>
                </w:p>
              </w:tc>
            </w:tr>
            <w:tr w14:paraId="6D7D6D0C">
              <w:tblPrEx>
                <w:tblCellMar>
                  <w:top w:w="0" w:type="dxa"/>
                  <w:left w:w="0" w:type="dxa"/>
                  <w:bottom w:w="0" w:type="dxa"/>
                  <w:right w:w="0" w:type="dxa"/>
                </w:tblCellMar>
              </w:tblPrEx>
              <w:trPr>
                <w:trHeight w:val="268" w:hRule="atLeast"/>
                <w:jc w:val="center"/>
              </w:trPr>
              <w:tc>
                <w:tcPr>
                  <w:tcW w:w="21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1C782E0">
                  <w:pPr>
                    <w:pStyle w:val="39"/>
                  </w:pPr>
                  <w:r>
                    <w:t>Reference channel</w:t>
                  </w:r>
                </w:p>
              </w:tc>
              <w:tc>
                <w:tcPr>
                  <w:tcW w:w="5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C25598C">
                  <w:pPr>
                    <w:pStyle w:val="38"/>
                  </w:pPr>
                  <w:r>
                    <w:t> </w:t>
                  </w:r>
                </w:p>
              </w:tc>
              <w:tc>
                <w:tcPr>
                  <w:tcW w:w="24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B7D6976">
                  <w:pPr>
                    <w:pStyle w:val="38"/>
                    <w:rPr>
                      <w:rFonts w:eastAsiaTheme="minorEastAsia"/>
                      <w:lang w:eastAsia="zh-CN"/>
                    </w:rPr>
                  </w:pPr>
                  <w:r>
                    <w:t>R.PMCH.</w:t>
                  </w:r>
                  <w:r>
                    <w:rPr>
                      <w:rFonts w:hint="eastAsia" w:eastAsiaTheme="minorEastAsia"/>
                      <w:lang w:eastAsia="zh-CN"/>
                    </w:rPr>
                    <w:t>1</w:t>
                  </w:r>
                </w:p>
              </w:tc>
              <w:tc>
                <w:tcPr>
                  <w:tcW w:w="2028" w:type="dxa"/>
                  <w:tcBorders>
                    <w:top w:val="single" w:color="auto" w:sz="4" w:space="0"/>
                    <w:left w:val="single" w:color="auto" w:sz="4" w:space="0"/>
                    <w:bottom w:val="single" w:color="auto" w:sz="4" w:space="0"/>
                    <w:right w:val="single" w:color="auto" w:sz="4" w:space="0"/>
                  </w:tcBorders>
                </w:tcPr>
                <w:p w14:paraId="620A0220">
                  <w:pPr>
                    <w:pStyle w:val="38"/>
                    <w:rPr>
                      <w:rFonts w:eastAsiaTheme="minorEastAsia"/>
                      <w:lang w:eastAsia="zh-CN"/>
                    </w:rPr>
                  </w:pPr>
                  <w:r>
                    <w:t>R.PMCH.</w:t>
                  </w:r>
                  <w:r>
                    <w:rPr>
                      <w:rFonts w:hint="eastAsia" w:eastAsiaTheme="minorEastAsia"/>
                      <w:lang w:eastAsia="zh-CN"/>
                    </w:rPr>
                    <w:t>2</w:t>
                  </w:r>
                </w:p>
              </w:tc>
            </w:tr>
            <w:tr w14:paraId="6449DC67">
              <w:tblPrEx>
                <w:tblCellMar>
                  <w:top w:w="0" w:type="dxa"/>
                  <w:left w:w="0" w:type="dxa"/>
                  <w:bottom w:w="0" w:type="dxa"/>
                  <w:right w:w="0" w:type="dxa"/>
                </w:tblCellMar>
              </w:tblPrEx>
              <w:trPr>
                <w:trHeight w:val="194" w:hRule="atLeast"/>
                <w:jc w:val="center"/>
              </w:trPr>
              <w:tc>
                <w:tcPr>
                  <w:tcW w:w="21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E50F94D">
                  <w:pPr>
                    <w:pStyle w:val="39"/>
                  </w:pPr>
                  <w:r>
                    <w:t xml:space="preserve">PMCH bandwidth </w:t>
                  </w:r>
                </w:p>
              </w:tc>
              <w:tc>
                <w:tcPr>
                  <w:tcW w:w="5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ED9183C">
                  <w:pPr>
                    <w:pStyle w:val="38"/>
                  </w:pPr>
                  <w:r>
                    <w:t>MHz</w:t>
                  </w:r>
                </w:p>
              </w:tc>
              <w:tc>
                <w:tcPr>
                  <w:tcW w:w="24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929CA93">
                  <w:pPr>
                    <w:pStyle w:val="38"/>
                    <w:rPr>
                      <w:rFonts w:eastAsiaTheme="minorEastAsia"/>
                      <w:lang w:eastAsia="zh-CN"/>
                    </w:rPr>
                  </w:pPr>
                  <w:r>
                    <w:rPr>
                      <w:rFonts w:hint="eastAsia" w:eastAsiaTheme="minorEastAsia"/>
                      <w:lang w:eastAsia="zh-CN"/>
                    </w:rPr>
                    <w:t>10</w:t>
                  </w:r>
                </w:p>
              </w:tc>
              <w:tc>
                <w:tcPr>
                  <w:tcW w:w="2028" w:type="dxa"/>
                  <w:tcBorders>
                    <w:top w:val="single" w:color="auto" w:sz="4" w:space="0"/>
                    <w:left w:val="single" w:color="auto" w:sz="4" w:space="0"/>
                    <w:bottom w:val="single" w:color="auto" w:sz="4" w:space="0"/>
                    <w:right w:val="single" w:color="auto" w:sz="4" w:space="0"/>
                  </w:tcBorders>
                </w:tcPr>
                <w:p w14:paraId="7F9409DA">
                  <w:pPr>
                    <w:pStyle w:val="38"/>
                    <w:rPr>
                      <w:rFonts w:eastAsiaTheme="minorEastAsia"/>
                      <w:lang w:eastAsia="zh-CN"/>
                    </w:rPr>
                  </w:pPr>
                  <w:r>
                    <w:rPr>
                      <w:rFonts w:hint="eastAsia" w:eastAsiaTheme="minorEastAsia"/>
                      <w:lang w:eastAsia="zh-CN"/>
                    </w:rPr>
                    <w:t>10</w:t>
                  </w:r>
                </w:p>
              </w:tc>
            </w:tr>
            <w:tr w14:paraId="1A7E06B6">
              <w:tblPrEx>
                <w:tblCellMar>
                  <w:top w:w="0" w:type="dxa"/>
                  <w:left w:w="0" w:type="dxa"/>
                  <w:bottom w:w="0" w:type="dxa"/>
                  <w:right w:w="0" w:type="dxa"/>
                </w:tblCellMar>
              </w:tblPrEx>
              <w:trPr>
                <w:trHeight w:val="201" w:hRule="atLeast"/>
                <w:jc w:val="center"/>
              </w:trPr>
              <w:tc>
                <w:tcPr>
                  <w:tcW w:w="21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FE7D5AA">
                  <w:pPr>
                    <w:pStyle w:val="39"/>
                  </w:pPr>
                  <w:r>
                    <w:t>Allocated resource blocks</w:t>
                  </w:r>
                </w:p>
              </w:tc>
              <w:tc>
                <w:tcPr>
                  <w:tcW w:w="5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003B330">
                  <w:pPr>
                    <w:pStyle w:val="38"/>
                  </w:pPr>
                  <w:r>
                    <w:t> </w:t>
                  </w:r>
                </w:p>
              </w:tc>
              <w:tc>
                <w:tcPr>
                  <w:tcW w:w="24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7AA9A3D">
                  <w:pPr>
                    <w:pStyle w:val="38"/>
                    <w:rPr>
                      <w:rFonts w:eastAsiaTheme="minorEastAsia"/>
                      <w:lang w:eastAsia="zh-CN"/>
                    </w:rPr>
                  </w:pPr>
                  <w:r>
                    <w:rPr>
                      <w:rFonts w:hint="eastAsia" w:eastAsiaTheme="minorEastAsia"/>
                      <w:lang w:eastAsia="zh-CN"/>
                    </w:rPr>
                    <w:t>50</w:t>
                  </w:r>
                </w:p>
              </w:tc>
              <w:tc>
                <w:tcPr>
                  <w:tcW w:w="2028" w:type="dxa"/>
                  <w:tcBorders>
                    <w:top w:val="single" w:color="auto" w:sz="4" w:space="0"/>
                    <w:left w:val="single" w:color="auto" w:sz="4" w:space="0"/>
                    <w:bottom w:val="single" w:color="auto" w:sz="4" w:space="0"/>
                    <w:right w:val="single" w:color="auto" w:sz="4" w:space="0"/>
                  </w:tcBorders>
                </w:tcPr>
                <w:p w14:paraId="7D803D7C">
                  <w:pPr>
                    <w:pStyle w:val="38"/>
                  </w:pPr>
                  <w:r>
                    <w:rPr>
                      <w:rFonts w:hint="eastAsia" w:eastAsiaTheme="minorEastAsia"/>
                      <w:lang w:eastAsia="zh-CN"/>
                    </w:rPr>
                    <w:t>5</w:t>
                  </w:r>
                  <w:r>
                    <w:t>0</w:t>
                  </w:r>
                </w:p>
              </w:tc>
            </w:tr>
            <w:tr w14:paraId="5E68D574">
              <w:tblPrEx>
                <w:tblCellMar>
                  <w:top w:w="0" w:type="dxa"/>
                  <w:left w:w="0" w:type="dxa"/>
                  <w:bottom w:w="0" w:type="dxa"/>
                  <w:right w:w="0" w:type="dxa"/>
                </w:tblCellMar>
              </w:tblPrEx>
              <w:trPr>
                <w:trHeight w:val="229" w:hRule="atLeast"/>
                <w:jc w:val="center"/>
              </w:trPr>
              <w:tc>
                <w:tcPr>
                  <w:tcW w:w="21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B0F15FA">
                  <w:pPr>
                    <w:pStyle w:val="39"/>
                  </w:pPr>
                  <w:r>
                    <w:t>Allocated subframes per Radio Frame(Note1)</w:t>
                  </w:r>
                </w:p>
              </w:tc>
              <w:tc>
                <w:tcPr>
                  <w:tcW w:w="5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62B6AC8">
                  <w:pPr>
                    <w:pStyle w:val="38"/>
                  </w:pPr>
                  <w:r>
                    <w:t> </w:t>
                  </w:r>
                </w:p>
              </w:tc>
              <w:tc>
                <w:tcPr>
                  <w:tcW w:w="24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326D366">
                  <w:pPr>
                    <w:pStyle w:val="38"/>
                  </w:pPr>
                  <w:r>
                    <w:t>10</w:t>
                  </w:r>
                </w:p>
              </w:tc>
              <w:tc>
                <w:tcPr>
                  <w:tcW w:w="2028" w:type="dxa"/>
                  <w:tcBorders>
                    <w:top w:val="single" w:color="auto" w:sz="4" w:space="0"/>
                    <w:left w:val="single" w:color="auto" w:sz="4" w:space="0"/>
                    <w:bottom w:val="single" w:color="auto" w:sz="4" w:space="0"/>
                    <w:right w:val="single" w:color="auto" w:sz="4" w:space="0"/>
                  </w:tcBorders>
                </w:tcPr>
                <w:p w14:paraId="189AD105">
                  <w:pPr>
                    <w:pStyle w:val="38"/>
                  </w:pPr>
                  <w:r>
                    <w:t>10</w:t>
                  </w:r>
                </w:p>
              </w:tc>
            </w:tr>
            <w:tr w14:paraId="34EFFE06">
              <w:tblPrEx>
                <w:tblCellMar>
                  <w:top w:w="0" w:type="dxa"/>
                  <w:left w:w="0" w:type="dxa"/>
                  <w:bottom w:w="0" w:type="dxa"/>
                  <w:right w:w="0" w:type="dxa"/>
                </w:tblCellMar>
              </w:tblPrEx>
              <w:trPr>
                <w:trHeight w:val="271" w:hRule="atLeast"/>
                <w:jc w:val="center"/>
              </w:trPr>
              <w:tc>
                <w:tcPr>
                  <w:tcW w:w="21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2BA302C">
                  <w:pPr>
                    <w:pStyle w:val="39"/>
                  </w:pPr>
                  <w:r>
                    <w:t>Modulation</w:t>
                  </w:r>
                </w:p>
              </w:tc>
              <w:tc>
                <w:tcPr>
                  <w:tcW w:w="5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C59FEDC">
                  <w:pPr>
                    <w:pStyle w:val="38"/>
                  </w:pPr>
                  <w:r>
                    <w:t> </w:t>
                  </w:r>
                </w:p>
              </w:tc>
              <w:tc>
                <w:tcPr>
                  <w:tcW w:w="24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4637EFB">
                  <w:pPr>
                    <w:pStyle w:val="38"/>
                  </w:pPr>
                  <w:r>
                    <w:t>QPSK</w:t>
                  </w:r>
                </w:p>
              </w:tc>
              <w:tc>
                <w:tcPr>
                  <w:tcW w:w="2028" w:type="dxa"/>
                  <w:tcBorders>
                    <w:top w:val="single" w:color="auto" w:sz="4" w:space="0"/>
                    <w:left w:val="single" w:color="auto" w:sz="4" w:space="0"/>
                    <w:bottom w:val="single" w:color="auto" w:sz="4" w:space="0"/>
                    <w:right w:val="single" w:color="auto" w:sz="4" w:space="0"/>
                  </w:tcBorders>
                </w:tcPr>
                <w:p w14:paraId="0FD0AD14">
                  <w:pPr>
                    <w:pStyle w:val="38"/>
                  </w:pPr>
                  <w:r>
                    <w:rPr>
                      <w:rFonts w:hint="eastAsia"/>
                      <w:lang w:eastAsia="zh-CN"/>
                    </w:rPr>
                    <w:t>16</w:t>
                  </w:r>
                  <w:r>
                    <w:rPr>
                      <w:lang w:eastAsia="zh-CN"/>
                    </w:rPr>
                    <w:t>QAM</w:t>
                  </w:r>
                </w:p>
              </w:tc>
            </w:tr>
            <w:tr w14:paraId="13AFF056">
              <w:tblPrEx>
                <w:tblCellMar>
                  <w:top w:w="0" w:type="dxa"/>
                  <w:left w:w="0" w:type="dxa"/>
                  <w:bottom w:w="0" w:type="dxa"/>
                  <w:right w:w="0" w:type="dxa"/>
                </w:tblCellMar>
              </w:tblPrEx>
              <w:trPr>
                <w:trHeight w:val="249" w:hRule="atLeast"/>
                <w:jc w:val="center"/>
              </w:trPr>
              <w:tc>
                <w:tcPr>
                  <w:tcW w:w="21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F53F45F">
                  <w:pPr>
                    <w:pStyle w:val="39"/>
                  </w:pPr>
                  <w:r>
                    <w:t>Target Coding Rate</w:t>
                  </w:r>
                </w:p>
              </w:tc>
              <w:tc>
                <w:tcPr>
                  <w:tcW w:w="5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49C5514">
                  <w:pPr>
                    <w:pStyle w:val="38"/>
                  </w:pPr>
                  <w:r>
                    <w:t> </w:t>
                  </w:r>
                </w:p>
              </w:tc>
              <w:tc>
                <w:tcPr>
                  <w:tcW w:w="24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1FF9E17">
                  <w:pPr>
                    <w:pStyle w:val="38"/>
                  </w:pPr>
                  <w:r>
                    <w:t>1/3</w:t>
                  </w:r>
                </w:p>
              </w:tc>
              <w:tc>
                <w:tcPr>
                  <w:tcW w:w="2028" w:type="dxa"/>
                  <w:tcBorders>
                    <w:top w:val="single" w:color="auto" w:sz="4" w:space="0"/>
                    <w:left w:val="single" w:color="auto" w:sz="4" w:space="0"/>
                    <w:bottom w:val="single" w:color="auto" w:sz="4" w:space="0"/>
                    <w:right w:val="single" w:color="auto" w:sz="4" w:space="0"/>
                  </w:tcBorders>
                </w:tcPr>
                <w:p w14:paraId="5BC913E4">
                  <w:pPr>
                    <w:pStyle w:val="38"/>
                  </w:pPr>
                  <w:r>
                    <w:rPr>
                      <w:lang w:eastAsia="zh-CN"/>
                    </w:rPr>
                    <w:t>3/4</w:t>
                  </w:r>
                </w:p>
              </w:tc>
            </w:tr>
            <w:tr w14:paraId="2A881330">
              <w:tblPrEx>
                <w:tblCellMar>
                  <w:top w:w="0" w:type="dxa"/>
                  <w:left w:w="0" w:type="dxa"/>
                  <w:bottom w:w="0" w:type="dxa"/>
                  <w:right w:w="0" w:type="dxa"/>
                </w:tblCellMar>
              </w:tblPrEx>
              <w:trPr>
                <w:trHeight w:val="249" w:hRule="atLeast"/>
                <w:jc w:val="center"/>
              </w:trPr>
              <w:tc>
                <w:tcPr>
                  <w:tcW w:w="21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0413A90">
                  <w:pPr>
                    <w:pStyle w:val="39"/>
                  </w:pPr>
                  <w:r>
                    <w:t>Information Bit Payload (Note 2)</w:t>
                  </w:r>
                </w:p>
              </w:tc>
              <w:tc>
                <w:tcPr>
                  <w:tcW w:w="5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F671C04">
                  <w:pPr>
                    <w:pStyle w:val="38"/>
                  </w:pPr>
                  <w:r>
                    <w:t> </w:t>
                  </w:r>
                </w:p>
              </w:tc>
              <w:tc>
                <w:tcPr>
                  <w:tcW w:w="24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DEBB93D">
                  <w:pPr>
                    <w:pStyle w:val="38"/>
                  </w:pPr>
                  <w:r>
                    <w:t> </w:t>
                  </w:r>
                </w:p>
              </w:tc>
              <w:tc>
                <w:tcPr>
                  <w:tcW w:w="2028" w:type="dxa"/>
                  <w:tcBorders>
                    <w:top w:val="single" w:color="auto" w:sz="4" w:space="0"/>
                    <w:left w:val="single" w:color="auto" w:sz="4" w:space="0"/>
                    <w:bottom w:val="single" w:color="auto" w:sz="4" w:space="0"/>
                    <w:right w:val="single" w:color="auto" w:sz="4" w:space="0"/>
                  </w:tcBorders>
                </w:tcPr>
                <w:p w14:paraId="3943781F">
                  <w:pPr>
                    <w:pStyle w:val="38"/>
                  </w:pPr>
                </w:p>
              </w:tc>
            </w:tr>
            <w:tr w14:paraId="26C4C9AC">
              <w:tblPrEx>
                <w:tblCellMar>
                  <w:top w:w="0" w:type="dxa"/>
                  <w:left w:w="0" w:type="dxa"/>
                  <w:bottom w:w="0" w:type="dxa"/>
                  <w:right w:w="0" w:type="dxa"/>
                </w:tblCellMar>
              </w:tblPrEx>
              <w:trPr>
                <w:trHeight w:val="243" w:hRule="atLeast"/>
                <w:jc w:val="center"/>
              </w:trPr>
              <w:tc>
                <w:tcPr>
                  <w:tcW w:w="21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97746E6">
                  <w:pPr>
                    <w:pStyle w:val="39"/>
                  </w:pPr>
                  <w:r>
                    <w:t>For Sub-Frames 0,1,2,3,4,5,6,7,8,9</w:t>
                  </w:r>
                </w:p>
              </w:tc>
              <w:tc>
                <w:tcPr>
                  <w:tcW w:w="5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1D72730">
                  <w:pPr>
                    <w:pStyle w:val="38"/>
                  </w:pPr>
                  <w:r>
                    <w:t>Bits</w:t>
                  </w:r>
                </w:p>
              </w:tc>
              <w:tc>
                <w:tcPr>
                  <w:tcW w:w="24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3D36396">
                  <w:pPr>
                    <w:pStyle w:val="38"/>
                    <w:rPr>
                      <w:rFonts w:eastAsiaTheme="minorEastAsia"/>
                      <w:lang w:eastAsia="zh-CN"/>
                    </w:rPr>
                  </w:pPr>
                  <w:r>
                    <w:rPr>
                      <w:rFonts w:hint="eastAsia" w:eastAsiaTheme="minorEastAsia"/>
                      <w:lang w:eastAsia="zh-CN"/>
                    </w:rPr>
                    <w:t>TBD</w:t>
                  </w:r>
                </w:p>
              </w:tc>
              <w:tc>
                <w:tcPr>
                  <w:tcW w:w="2028" w:type="dxa"/>
                  <w:tcBorders>
                    <w:top w:val="single" w:color="auto" w:sz="4" w:space="0"/>
                    <w:left w:val="single" w:color="auto" w:sz="4" w:space="0"/>
                    <w:bottom w:val="single" w:color="auto" w:sz="4" w:space="0"/>
                    <w:right w:val="single" w:color="auto" w:sz="4" w:space="0"/>
                  </w:tcBorders>
                </w:tcPr>
                <w:p w14:paraId="7409E0EA">
                  <w:pPr>
                    <w:pStyle w:val="38"/>
                    <w:rPr>
                      <w:rFonts w:eastAsiaTheme="minorEastAsia"/>
                    </w:rPr>
                  </w:pPr>
                  <w:r>
                    <w:rPr>
                      <w:rFonts w:hint="eastAsia" w:eastAsiaTheme="minorEastAsia"/>
                      <w:lang w:eastAsia="zh-CN"/>
                    </w:rPr>
                    <w:t>TBD</w:t>
                  </w:r>
                </w:p>
              </w:tc>
            </w:tr>
            <w:tr w14:paraId="79792194">
              <w:tblPrEx>
                <w:tblCellMar>
                  <w:top w:w="0" w:type="dxa"/>
                  <w:left w:w="0" w:type="dxa"/>
                  <w:bottom w:w="0" w:type="dxa"/>
                  <w:right w:w="0" w:type="dxa"/>
                </w:tblCellMar>
              </w:tblPrEx>
              <w:trPr>
                <w:trHeight w:val="252" w:hRule="atLeast"/>
                <w:jc w:val="center"/>
              </w:trPr>
              <w:tc>
                <w:tcPr>
                  <w:tcW w:w="21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40F13B4">
                  <w:pPr>
                    <w:pStyle w:val="39"/>
                  </w:pPr>
                  <w:r>
                    <w:t>Number of Code Blocks per Sub-Frame (Note 3)</w:t>
                  </w:r>
                </w:p>
              </w:tc>
              <w:tc>
                <w:tcPr>
                  <w:tcW w:w="5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53476FA">
                  <w:pPr>
                    <w:pStyle w:val="38"/>
                  </w:pPr>
                  <w:r>
                    <w:t> </w:t>
                  </w:r>
                </w:p>
              </w:tc>
              <w:tc>
                <w:tcPr>
                  <w:tcW w:w="24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A436FBB">
                  <w:pPr>
                    <w:pStyle w:val="38"/>
                  </w:pPr>
                  <w:r>
                    <w:t>1</w:t>
                  </w:r>
                </w:p>
              </w:tc>
              <w:tc>
                <w:tcPr>
                  <w:tcW w:w="2028" w:type="dxa"/>
                  <w:tcBorders>
                    <w:top w:val="single" w:color="auto" w:sz="4" w:space="0"/>
                    <w:left w:val="single" w:color="auto" w:sz="4" w:space="0"/>
                    <w:bottom w:val="single" w:color="auto" w:sz="4" w:space="0"/>
                    <w:right w:val="single" w:color="auto" w:sz="4" w:space="0"/>
                  </w:tcBorders>
                </w:tcPr>
                <w:p w14:paraId="760DE61A">
                  <w:pPr>
                    <w:pStyle w:val="38"/>
                  </w:pPr>
                  <w:r>
                    <w:t>3</w:t>
                  </w:r>
                </w:p>
              </w:tc>
            </w:tr>
            <w:tr w14:paraId="20CFAEE7">
              <w:tblPrEx>
                <w:tblCellMar>
                  <w:top w:w="0" w:type="dxa"/>
                  <w:left w:w="0" w:type="dxa"/>
                  <w:bottom w:w="0" w:type="dxa"/>
                  <w:right w:w="0" w:type="dxa"/>
                </w:tblCellMar>
              </w:tblPrEx>
              <w:trPr>
                <w:trHeight w:val="252" w:hRule="atLeast"/>
                <w:jc w:val="center"/>
              </w:trPr>
              <w:tc>
                <w:tcPr>
                  <w:tcW w:w="21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49A0FFC">
                  <w:pPr>
                    <w:pStyle w:val="39"/>
                  </w:pPr>
                  <w:r>
                    <w:t>Binary Channel Bits Per Subframe</w:t>
                  </w:r>
                </w:p>
              </w:tc>
              <w:tc>
                <w:tcPr>
                  <w:tcW w:w="5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208FD43">
                  <w:pPr>
                    <w:pStyle w:val="38"/>
                  </w:pPr>
                  <w:r>
                    <w:t> </w:t>
                  </w:r>
                </w:p>
              </w:tc>
              <w:tc>
                <w:tcPr>
                  <w:tcW w:w="24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59A01C0">
                  <w:pPr>
                    <w:pStyle w:val="38"/>
                  </w:pPr>
                  <w:r>
                    <w:t> </w:t>
                  </w:r>
                </w:p>
              </w:tc>
              <w:tc>
                <w:tcPr>
                  <w:tcW w:w="2028" w:type="dxa"/>
                  <w:tcBorders>
                    <w:top w:val="single" w:color="auto" w:sz="4" w:space="0"/>
                    <w:left w:val="single" w:color="auto" w:sz="4" w:space="0"/>
                    <w:bottom w:val="single" w:color="auto" w:sz="4" w:space="0"/>
                    <w:right w:val="single" w:color="auto" w:sz="4" w:space="0"/>
                  </w:tcBorders>
                </w:tcPr>
                <w:p w14:paraId="6C4FF135">
                  <w:pPr>
                    <w:pStyle w:val="38"/>
                  </w:pPr>
                  <w:r>
                    <w:t> </w:t>
                  </w:r>
                </w:p>
              </w:tc>
            </w:tr>
            <w:tr w14:paraId="7C8F36A8">
              <w:tblPrEx>
                <w:tblCellMar>
                  <w:top w:w="0" w:type="dxa"/>
                  <w:left w:w="0" w:type="dxa"/>
                  <w:bottom w:w="0" w:type="dxa"/>
                  <w:right w:w="0" w:type="dxa"/>
                </w:tblCellMar>
              </w:tblPrEx>
              <w:trPr>
                <w:trHeight w:val="246" w:hRule="atLeast"/>
                <w:jc w:val="center"/>
              </w:trPr>
              <w:tc>
                <w:tcPr>
                  <w:tcW w:w="21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26A90D8">
                  <w:pPr>
                    <w:pStyle w:val="39"/>
                  </w:pPr>
                  <w:r>
                    <w:t>For Sub-Frames 0,1,2,3,4,5,6,7,8,9</w:t>
                  </w:r>
                </w:p>
              </w:tc>
              <w:tc>
                <w:tcPr>
                  <w:tcW w:w="5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30496A6">
                  <w:pPr>
                    <w:pStyle w:val="38"/>
                  </w:pPr>
                  <w:r>
                    <w:t>Bits</w:t>
                  </w:r>
                </w:p>
              </w:tc>
              <w:tc>
                <w:tcPr>
                  <w:tcW w:w="24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71059AB">
                  <w:pPr>
                    <w:pStyle w:val="38"/>
                    <w:rPr>
                      <w:rFonts w:eastAsiaTheme="minorEastAsia"/>
                      <w:lang w:eastAsia="zh-CN"/>
                    </w:rPr>
                  </w:pPr>
                  <w:r>
                    <w:rPr>
                      <w:rFonts w:hint="eastAsia" w:eastAsiaTheme="minorEastAsia"/>
                      <w:lang w:eastAsia="zh-CN"/>
                    </w:rPr>
                    <w:t>TBD</w:t>
                  </w:r>
                </w:p>
              </w:tc>
              <w:tc>
                <w:tcPr>
                  <w:tcW w:w="2028" w:type="dxa"/>
                  <w:tcBorders>
                    <w:top w:val="single" w:color="auto" w:sz="4" w:space="0"/>
                    <w:left w:val="single" w:color="auto" w:sz="4" w:space="0"/>
                    <w:bottom w:val="single" w:color="auto" w:sz="4" w:space="0"/>
                    <w:right w:val="single" w:color="auto" w:sz="4" w:space="0"/>
                  </w:tcBorders>
                </w:tcPr>
                <w:p w14:paraId="18AC2435">
                  <w:pPr>
                    <w:pStyle w:val="38"/>
                    <w:rPr>
                      <w:rFonts w:eastAsiaTheme="minorEastAsia"/>
                      <w:lang w:eastAsia="zh-CN"/>
                    </w:rPr>
                  </w:pPr>
                  <w:r>
                    <w:rPr>
                      <w:rFonts w:hint="eastAsia" w:eastAsiaTheme="minorEastAsia"/>
                      <w:lang w:eastAsia="zh-CN"/>
                    </w:rPr>
                    <w:t>TBD</w:t>
                  </w:r>
                </w:p>
              </w:tc>
            </w:tr>
            <w:tr w14:paraId="30AA0D5D">
              <w:tblPrEx>
                <w:tblCellMar>
                  <w:top w:w="0" w:type="dxa"/>
                  <w:left w:w="0" w:type="dxa"/>
                  <w:bottom w:w="0" w:type="dxa"/>
                  <w:right w:w="0" w:type="dxa"/>
                </w:tblCellMar>
              </w:tblPrEx>
              <w:trPr>
                <w:trHeight w:val="263" w:hRule="atLeast"/>
                <w:jc w:val="center"/>
              </w:trPr>
              <w:tc>
                <w:tcPr>
                  <w:tcW w:w="21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6ABA0AD">
                  <w:pPr>
                    <w:pStyle w:val="39"/>
                  </w:pPr>
                  <w:r>
                    <w:t>MBMS UE Category</w:t>
                  </w:r>
                </w:p>
              </w:tc>
              <w:tc>
                <w:tcPr>
                  <w:tcW w:w="5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AEC8268">
                  <w:pPr>
                    <w:pStyle w:val="38"/>
                  </w:pPr>
                  <w:r>
                    <w:t> </w:t>
                  </w:r>
                </w:p>
              </w:tc>
              <w:tc>
                <w:tcPr>
                  <w:tcW w:w="24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EBBDEEA">
                  <w:pPr>
                    <w:pStyle w:val="38"/>
                  </w:pPr>
                  <w:r>
                    <w:t>≥ 1</w:t>
                  </w:r>
                </w:p>
              </w:tc>
              <w:tc>
                <w:tcPr>
                  <w:tcW w:w="2028" w:type="dxa"/>
                  <w:tcBorders>
                    <w:top w:val="single" w:color="auto" w:sz="4" w:space="0"/>
                    <w:left w:val="single" w:color="auto" w:sz="4" w:space="0"/>
                    <w:bottom w:val="single" w:color="auto" w:sz="4" w:space="0"/>
                    <w:right w:val="single" w:color="auto" w:sz="4" w:space="0"/>
                  </w:tcBorders>
                </w:tcPr>
                <w:p w14:paraId="0730973C">
                  <w:pPr>
                    <w:pStyle w:val="38"/>
                  </w:pPr>
                  <w:r>
                    <w:t>≥ 2</w:t>
                  </w:r>
                </w:p>
              </w:tc>
            </w:tr>
            <w:tr w14:paraId="43285F4D">
              <w:tblPrEx>
                <w:tblCellMar>
                  <w:top w:w="0" w:type="dxa"/>
                  <w:left w:w="0" w:type="dxa"/>
                  <w:bottom w:w="0" w:type="dxa"/>
                  <w:right w:w="0" w:type="dxa"/>
                </w:tblCellMar>
              </w:tblPrEx>
              <w:trPr>
                <w:trHeight w:val="66" w:hRule="atLeast"/>
                <w:jc w:val="center"/>
              </w:trPr>
              <w:tc>
                <w:tcPr>
                  <w:tcW w:w="7197" w:type="dxa"/>
                  <w:gridSpan w:val="4"/>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EAAAA9B">
                  <w:pPr>
                    <w:pStyle w:val="56"/>
                  </w:pPr>
                  <w:r>
                    <w:t xml:space="preserve">Note </w:t>
                  </w:r>
                  <w:r>
                    <w:rPr>
                      <w:rFonts w:hint="eastAsia"/>
                      <w:lang w:eastAsia="zh-CN"/>
                    </w:rPr>
                    <w:t>1</w:t>
                  </w:r>
                  <w:r>
                    <w:t>:</w:t>
                  </w:r>
                  <w:r>
                    <w:tab/>
                  </w:r>
                  <w:r>
                    <w:t>2 OFDM symbols are reserved for PDCCH; and no CRS allocated as per TS 36.211 [4].</w:t>
                  </w:r>
                </w:p>
                <w:p w14:paraId="17664172">
                  <w:pPr>
                    <w:pStyle w:val="56"/>
                  </w:pPr>
                  <w:r>
                    <w:t xml:space="preserve">Note </w:t>
                  </w:r>
                  <w:r>
                    <w:rPr>
                      <w:rFonts w:hint="eastAsia"/>
                      <w:lang w:eastAsia="zh-CN"/>
                    </w:rPr>
                    <w:t>2</w:t>
                  </w:r>
                  <w:r>
                    <w:t>:</w:t>
                  </w:r>
                  <w:r>
                    <w:tab/>
                  </w:r>
                  <w:r>
                    <w:t>If more than one Code Block is present, an additional CRC sequence of L = 24 Bits is attached to each Code Block (otherwise L = 0 Bit).</w:t>
                  </w:r>
                </w:p>
              </w:tc>
            </w:tr>
          </w:tbl>
          <w:p w14:paraId="40066429">
            <w:pPr>
              <w:rPr>
                <w:rFonts w:hint="eastAsia"/>
                <w:vertAlign w:val="baseline"/>
                <w:lang w:val="en-US" w:eastAsia="zh-CN"/>
              </w:rPr>
            </w:pPr>
          </w:p>
        </w:tc>
      </w:tr>
    </w:tbl>
    <w:p w14:paraId="69D7958A">
      <w:pPr>
        <w:rPr>
          <w:rFonts w:hint="eastAsia"/>
          <w:lang w:val="en-US" w:eastAsia="zh-CN"/>
        </w:rPr>
      </w:pPr>
    </w:p>
    <w:p w14:paraId="716C5CA0">
      <w:pPr>
        <w:widowControl w:val="0"/>
        <w:overflowPunct/>
        <w:autoSpaceDE/>
        <w:autoSpaceDN/>
        <w:adjustRightInd/>
        <w:spacing w:after="0"/>
        <w:jc w:val="both"/>
        <w:textAlignment w:val="auto"/>
        <w:rPr>
          <w:rFonts w:hint="default" w:eastAsia="宋体"/>
          <w:lang w:val="en-US" w:eastAsia="zh-CN"/>
        </w:rPr>
      </w:pPr>
      <w:r>
        <w:rPr>
          <w:rFonts w:hint="eastAsia" w:eastAsia="宋体"/>
          <w:lang w:val="en-US" w:eastAsia="zh-CN"/>
        </w:rPr>
        <w:t xml:space="preserve">It was agreed to specify the </w:t>
      </w:r>
      <w:r>
        <w:rPr>
          <w:rFonts w:eastAsia="宋体"/>
          <w:lang w:eastAsia="zh-CN"/>
        </w:rPr>
        <w:t>RMC</w:t>
      </w:r>
      <w:r>
        <w:rPr>
          <w:rFonts w:hint="eastAsia" w:eastAsia="宋体"/>
          <w:lang w:eastAsia="zh-CN"/>
        </w:rPr>
        <w:t xml:space="preserve"> of 15kHz SCS</w:t>
      </w:r>
      <w:r>
        <w:rPr>
          <w:rFonts w:eastAsia="宋体"/>
          <w:lang w:eastAsia="zh-CN"/>
        </w:rPr>
        <w:t xml:space="preserve"> for 10MHz PMCH in TS 36.102</w:t>
      </w:r>
      <w:r>
        <w:rPr>
          <w:rFonts w:hint="eastAsia" w:eastAsia="宋体"/>
          <w:lang w:val="en-US" w:eastAsia="zh-CN"/>
        </w:rPr>
        <w:t xml:space="preserve">, and FFS other SCS. </w:t>
      </w:r>
      <w:r>
        <w:rPr>
          <w:rFonts w:cs="Arial"/>
        </w:rPr>
        <w:t xml:space="preserve">A terminal which supports </w:t>
      </w:r>
      <w:r>
        <w:rPr>
          <w:lang w:eastAsia="zh-CN"/>
        </w:rPr>
        <w:t>MBMS</w:t>
      </w:r>
      <w:r>
        <w:rPr>
          <w:rFonts w:hint="eastAsia"/>
          <w:lang w:val="en-US" w:eastAsia="zh-CN"/>
        </w:rPr>
        <w:t xml:space="preserve"> can use </w:t>
      </w:r>
      <w:r>
        <w:rPr>
          <w:rFonts w:hint="eastAsia" w:eastAsia="宋体"/>
          <w:lang w:val="en-US" w:eastAsia="zh-CN"/>
        </w:rPr>
        <w:t xml:space="preserve">five SCSs (15k/7.5k/2.5k/1.25k/0.37k) optionally for LTE PMCH transmission in current RAN4 spec, and in the </w:t>
      </w:r>
      <w:r>
        <w:rPr>
          <w:rFonts w:eastAsia="宋体"/>
          <w:lang w:val="en-US" w:eastAsia="zh-CN"/>
        </w:rPr>
        <w:t>R</w:t>
      </w:r>
      <w:r>
        <w:rPr>
          <w:rFonts w:hint="eastAsia" w:eastAsia="宋体"/>
          <w:lang w:val="en-US" w:eastAsia="zh-CN"/>
        </w:rPr>
        <w:t>el</w:t>
      </w:r>
      <w:r>
        <w:rPr>
          <w:rFonts w:eastAsia="宋体"/>
          <w:lang w:val="en-US" w:eastAsia="zh-CN"/>
        </w:rPr>
        <w:t>-18</w:t>
      </w:r>
      <w:r>
        <w:rPr>
          <w:rFonts w:hint="eastAsia" w:eastAsia="宋体"/>
          <w:lang w:val="en-US" w:eastAsia="zh-CN"/>
        </w:rPr>
        <w:t xml:space="preserve"> </w:t>
      </w:r>
      <w:r>
        <w:rPr>
          <w:rFonts w:eastAsia="宋体"/>
          <w:lang w:val="en-US" w:eastAsia="zh-CN"/>
        </w:rPr>
        <w:t>RAN4 WI</w:t>
      </w:r>
      <w:r>
        <w:rPr>
          <w:rFonts w:hint="eastAsia" w:eastAsia="宋体"/>
          <w:lang w:val="en-US" w:eastAsia="zh-CN"/>
        </w:rPr>
        <w:t xml:space="preserve"> </w:t>
      </w:r>
      <w:r>
        <w:rPr>
          <w:rFonts w:hint="default" w:eastAsia="宋体"/>
          <w:lang w:val="en-US" w:eastAsia="zh-CN"/>
        </w:rPr>
        <w:t>“</w:t>
      </w:r>
      <w:r>
        <w:rPr>
          <w:rFonts w:hint="eastAsia"/>
        </w:rPr>
        <w:t>LTE based 5G terrestrial broadcast - part 2</w:t>
      </w:r>
      <w:r>
        <w:rPr>
          <w:rFonts w:hint="default" w:eastAsia="宋体"/>
          <w:lang w:val="en-US" w:eastAsia="zh-CN"/>
        </w:rPr>
        <w:t>”</w:t>
      </w:r>
      <w:r>
        <w:rPr>
          <w:rFonts w:hint="eastAsia" w:eastAsia="宋体"/>
          <w:lang w:val="en-US" w:eastAsia="zh-CN"/>
        </w:rPr>
        <w:t xml:space="preserve">, four SCSs(15k/2.5k/1.25k/0.37k) are considered for RMC parameters of PMCH, as smaller SCS is beneficial to broadcast coverage, so for </w:t>
      </w:r>
      <w:r>
        <w:rPr>
          <w:rFonts w:eastAsia="宋体"/>
          <w:lang w:val="en-US" w:eastAsia="zh-CN"/>
        </w:rPr>
        <w:t>LTE-based 5G Broadcast</w:t>
      </w:r>
      <w:r>
        <w:rPr>
          <w:rFonts w:hint="eastAsia" w:eastAsia="宋体"/>
          <w:lang w:val="en-US" w:eastAsia="zh-CN"/>
        </w:rPr>
        <w:t xml:space="preserve"> for GSO, the four SCSs(15k/2.5k/1.25k/0.37k) can still be considered for RMC.</w:t>
      </w:r>
    </w:p>
    <w:p w14:paraId="005E7D62">
      <w:pPr>
        <w:bidi w:val="0"/>
        <w:rPr>
          <w:rFonts w:hint="eastAsia" w:eastAsiaTheme="minorEastAsia"/>
          <w:lang w:val="en-US" w:eastAsia="zh-CN"/>
        </w:rPr>
      </w:pPr>
    </w:p>
    <w:p w14:paraId="7FB1F2E0">
      <w:pPr>
        <w:bidi w:val="0"/>
        <w:rPr>
          <w:rFonts w:hint="default" w:eastAsiaTheme="minorEastAsia"/>
          <w:i/>
          <w:iCs/>
          <w:lang w:val="en-US" w:eastAsia="zh-CN"/>
        </w:rPr>
      </w:pPr>
      <w:r>
        <w:rPr>
          <w:rFonts w:hint="eastAsia" w:eastAsiaTheme="minorEastAsia"/>
          <w:b/>
          <w:bCs/>
          <w:i/>
          <w:iCs/>
          <w:lang w:val="en-US" w:eastAsia="zh-CN"/>
        </w:rPr>
        <w:t>Proposal 2</w:t>
      </w:r>
      <w:r>
        <w:rPr>
          <w:rFonts w:hint="eastAsia" w:eastAsiaTheme="minorEastAsia"/>
          <w:i/>
          <w:iCs/>
          <w:lang w:val="en-US" w:eastAsia="zh-CN"/>
        </w:rPr>
        <w:t>: F</w:t>
      </w:r>
      <w:r>
        <w:rPr>
          <w:rFonts w:hint="eastAsia" w:eastAsia="宋体"/>
          <w:bCs/>
          <w:i/>
          <w:iCs/>
          <w:lang w:val="en-US" w:eastAsia="zh-CN"/>
        </w:rPr>
        <w:t>our SCSs(</w:t>
      </w:r>
      <w:r>
        <w:rPr>
          <w:rFonts w:hint="eastAsia" w:eastAsiaTheme="minorEastAsia"/>
          <w:i/>
          <w:iCs/>
          <w:lang w:val="en-US" w:eastAsia="zh-CN"/>
        </w:rPr>
        <w:t>15k/2.5k/1.25k/0.37k</w:t>
      </w:r>
      <w:r>
        <w:rPr>
          <w:rFonts w:hint="eastAsia" w:eastAsia="宋体"/>
          <w:bCs/>
          <w:i/>
          <w:iCs/>
          <w:lang w:val="en-US" w:eastAsia="zh-CN"/>
        </w:rPr>
        <w:t xml:space="preserve">) are considered for RMC parameters for </w:t>
      </w:r>
      <w:r>
        <w:rPr>
          <w:bCs/>
          <w:i/>
          <w:iCs/>
          <w:lang w:val="en-US"/>
        </w:rPr>
        <w:t>LTE-based 5G Broadcast</w:t>
      </w:r>
      <w:r>
        <w:rPr>
          <w:rFonts w:hint="eastAsia" w:eastAsia="宋体"/>
          <w:bCs/>
          <w:i/>
          <w:iCs/>
          <w:lang w:val="en-US" w:eastAsia="zh-CN"/>
        </w:rPr>
        <w:t xml:space="preserve"> </w:t>
      </w:r>
      <w:r>
        <w:rPr>
          <w:rFonts w:hint="eastAsia"/>
          <w:bCs/>
          <w:i/>
          <w:iCs/>
          <w:lang w:val="en-US" w:eastAsia="zh-CN"/>
        </w:rPr>
        <w:t>for GSO.</w:t>
      </w:r>
    </w:p>
    <w:p w14:paraId="0BA30A5C">
      <w:pPr>
        <w:bidi w:val="0"/>
        <w:rPr>
          <w:rFonts w:hint="eastAsia" w:eastAsiaTheme="minorEastAsia"/>
          <w:lang w:val="en-US" w:eastAsia="zh-CN"/>
        </w:rPr>
      </w:pPr>
    </w:p>
    <w:p w14:paraId="3C48870D">
      <w:pPr>
        <w:widowControl w:val="0"/>
        <w:bidi w:val="0"/>
        <w:rPr>
          <w:rFonts w:hint="eastAsia" w:eastAsia="宋体"/>
          <w:lang w:val="en-US" w:eastAsia="zh-CN"/>
        </w:rPr>
      </w:pPr>
      <w:r>
        <w:rPr>
          <w:rFonts w:hint="eastAsia" w:eastAsiaTheme="minorEastAsia"/>
          <w:lang w:val="en-US" w:eastAsia="zh-CN"/>
        </w:rPr>
        <w:t xml:space="preserve">Based on the RMC template in the WF[2], we further calculate the </w:t>
      </w:r>
      <w:r>
        <w:t>Information Bit Payload</w:t>
      </w:r>
      <w:r>
        <w:rPr>
          <w:rFonts w:hint="eastAsia" w:eastAsia="宋体"/>
          <w:lang w:val="en-US" w:eastAsia="zh-CN"/>
        </w:rPr>
        <w:t xml:space="preserve"> and </w:t>
      </w:r>
      <w:r>
        <w:t>Binary Channel Bits Per Subframe</w:t>
      </w:r>
      <w:r>
        <w:rPr>
          <w:rFonts w:hint="eastAsia" w:eastAsia="宋体"/>
          <w:lang w:val="en-US" w:eastAsia="zh-CN"/>
        </w:rPr>
        <w:t xml:space="preserve"> for 15 kHz SCS as follows:</w:t>
      </w:r>
    </w:p>
    <w:p w14:paraId="3FBC3DB4">
      <w:pPr>
        <w:pStyle w:val="40"/>
        <w:keepNext w:val="0"/>
        <w:keepLines w:val="0"/>
        <w:widowControl w:val="0"/>
        <w:rPr>
          <w:rFonts w:eastAsiaTheme="minorEastAsia"/>
          <w:lang w:eastAsia="zh-CN"/>
        </w:rPr>
      </w:pPr>
      <w:r>
        <w:t>Table A.</w:t>
      </w:r>
      <w:r>
        <w:rPr>
          <w:rFonts w:hint="eastAsia" w:eastAsiaTheme="minorEastAsia"/>
          <w:lang w:eastAsia="zh-CN"/>
        </w:rPr>
        <w:t>1</w:t>
      </w:r>
      <w:r>
        <w:t>.</w:t>
      </w:r>
      <w:r>
        <w:rPr>
          <w:rFonts w:hint="eastAsia" w:eastAsiaTheme="minorEastAsia"/>
          <w:lang w:eastAsia="zh-CN"/>
        </w:rPr>
        <w:t>3</w:t>
      </w:r>
      <w:r>
        <w:t>.1-1 Fixed Reference Channel for PMCH Receiver Requirements (15 kHz SCS)</w:t>
      </w:r>
    </w:p>
    <w:tbl>
      <w:tblPr>
        <w:tblStyle w:val="18"/>
        <w:tblW w:w="7197" w:type="dxa"/>
        <w:jc w:val="center"/>
        <w:tblLayout w:type="autofit"/>
        <w:tblCellMar>
          <w:top w:w="0" w:type="dxa"/>
          <w:left w:w="0" w:type="dxa"/>
          <w:bottom w:w="0" w:type="dxa"/>
          <w:right w:w="0" w:type="dxa"/>
        </w:tblCellMar>
      </w:tblPr>
      <w:tblGrid>
        <w:gridCol w:w="2165"/>
        <w:gridCol w:w="586"/>
        <w:gridCol w:w="2445"/>
        <w:gridCol w:w="2001"/>
      </w:tblGrid>
      <w:tr w14:paraId="11FCB423">
        <w:tblPrEx>
          <w:tblCellMar>
            <w:top w:w="0" w:type="dxa"/>
            <w:left w:w="0" w:type="dxa"/>
            <w:bottom w:w="0" w:type="dxa"/>
            <w:right w:w="0" w:type="dxa"/>
          </w:tblCellMar>
        </w:tblPrEx>
        <w:trPr>
          <w:trHeight w:val="163" w:hRule="atLeast"/>
          <w:jc w:val="center"/>
        </w:trPr>
        <w:tc>
          <w:tcPr>
            <w:tcW w:w="2177"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FE73214">
            <w:pPr>
              <w:pStyle w:val="37"/>
              <w:keepNext w:val="0"/>
              <w:keepLines w:val="0"/>
              <w:widowControl w:val="0"/>
            </w:pPr>
            <w:r>
              <w:t>Parameter</w:t>
            </w:r>
          </w:p>
        </w:tc>
        <w:tc>
          <w:tcPr>
            <w:tcW w:w="5020" w:type="dxa"/>
            <w:gridSpan w:val="3"/>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14962CD">
            <w:pPr>
              <w:pStyle w:val="37"/>
              <w:keepNext w:val="0"/>
              <w:keepLines w:val="0"/>
              <w:widowControl w:val="0"/>
            </w:pPr>
            <w:r>
              <w:t>PMCH (15 kHz SCS)</w:t>
            </w:r>
          </w:p>
        </w:tc>
      </w:tr>
      <w:tr w14:paraId="2F42F2D3">
        <w:tblPrEx>
          <w:tblCellMar>
            <w:top w:w="0" w:type="dxa"/>
            <w:left w:w="0" w:type="dxa"/>
            <w:bottom w:w="0" w:type="dxa"/>
            <w:right w:w="0" w:type="dxa"/>
          </w:tblCellMar>
        </w:tblPrEx>
        <w:trPr>
          <w:trHeight w:val="27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E2D0264">
            <w:pPr>
              <w:pStyle w:val="37"/>
              <w:keepNext w:val="0"/>
              <w:keepLines w:val="0"/>
              <w:widowControl w:val="0"/>
              <w:rPr>
                <w:rFonts w:eastAsiaTheme="minorHAnsi"/>
                <w:bCs/>
                <w:szCs w:val="18"/>
                <w:lang w:eastAsia="ko-KR"/>
              </w:rPr>
            </w:pPr>
          </w:p>
        </w:tc>
        <w:tc>
          <w:tcPr>
            <w:tcW w:w="5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734DC6B">
            <w:pPr>
              <w:pStyle w:val="37"/>
              <w:keepNext w:val="0"/>
              <w:keepLines w:val="0"/>
              <w:widowControl w:val="0"/>
            </w:pPr>
            <w:r>
              <w:t>Unit</w:t>
            </w:r>
          </w:p>
        </w:tc>
        <w:tc>
          <w:tcPr>
            <w:tcW w:w="450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171C128">
            <w:pPr>
              <w:pStyle w:val="37"/>
              <w:keepNext w:val="0"/>
              <w:keepLines w:val="0"/>
              <w:widowControl w:val="0"/>
            </w:pPr>
            <w:r>
              <w:t>Value</w:t>
            </w:r>
          </w:p>
        </w:tc>
      </w:tr>
      <w:tr w14:paraId="20C5B02B">
        <w:tblPrEx>
          <w:tblCellMar>
            <w:top w:w="0" w:type="dxa"/>
            <w:left w:w="0" w:type="dxa"/>
            <w:bottom w:w="0" w:type="dxa"/>
            <w:right w:w="0" w:type="dxa"/>
          </w:tblCellMar>
        </w:tblPrEx>
        <w:trPr>
          <w:trHeight w:val="268" w:hRule="atLeast"/>
          <w:jc w:val="center"/>
        </w:trPr>
        <w:tc>
          <w:tcPr>
            <w:tcW w:w="21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EC13FAB">
            <w:pPr>
              <w:pStyle w:val="39"/>
              <w:keepNext w:val="0"/>
              <w:keepLines w:val="0"/>
              <w:widowControl w:val="0"/>
            </w:pPr>
            <w:r>
              <w:t>Reference channel</w:t>
            </w:r>
          </w:p>
        </w:tc>
        <w:tc>
          <w:tcPr>
            <w:tcW w:w="5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BAE18EA">
            <w:pPr>
              <w:pStyle w:val="38"/>
              <w:keepNext w:val="0"/>
              <w:keepLines w:val="0"/>
              <w:widowControl w:val="0"/>
            </w:pPr>
            <w:r>
              <w:t> </w:t>
            </w:r>
          </w:p>
        </w:tc>
        <w:tc>
          <w:tcPr>
            <w:tcW w:w="24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305CDA">
            <w:pPr>
              <w:pStyle w:val="38"/>
              <w:keepNext w:val="0"/>
              <w:keepLines w:val="0"/>
              <w:widowControl w:val="0"/>
              <w:rPr>
                <w:rFonts w:eastAsiaTheme="minorEastAsia"/>
                <w:lang w:eastAsia="zh-CN"/>
              </w:rPr>
            </w:pPr>
            <w:r>
              <w:t>R.PMCH.</w:t>
            </w:r>
            <w:r>
              <w:rPr>
                <w:rFonts w:hint="eastAsia" w:eastAsiaTheme="minorEastAsia"/>
                <w:lang w:eastAsia="zh-CN"/>
              </w:rPr>
              <w:t>1</w:t>
            </w:r>
          </w:p>
        </w:tc>
        <w:tc>
          <w:tcPr>
            <w:tcW w:w="2028" w:type="dxa"/>
            <w:tcBorders>
              <w:top w:val="single" w:color="auto" w:sz="4" w:space="0"/>
              <w:left w:val="single" w:color="auto" w:sz="4" w:space="0"/>
              <w:bottom w:val="single" w:color="auto" w:sz="4" w:space="0"/>
              <w:right w:val="single" w:color="auto" w:sz="4" w:space="0"/>
            </w:tcBorders>
          </w:tcPr>
          <w:p w14:paraId="5B47035F">
            <w:pPr>
              <w:pStyle w:val="38"/>
              <w:keepNext w:val="0"/>
              <w:keepLines w:val="0"/>
              <w:widowControl w:val="0"/>
              <w:rPr>
                <w:rFonts w:eastAsiaTheme="minorEastAsia"/>
                <w:lang w:eastAsia="zh-CN"/>
              </w:rPr>
            </w:pPr>
            <w:r>
              <w:t>R.PMCH.</w:t>
            </w:r>
            <w:r>
              <w:rPr>
                <w:rFonts w:hint="eastAsia" w:eastAsiaTheme="minorEastAsia"/>
                <w:lang w:eastAsia="zh-CN"/>
              </w:rPr>
              <w:t>2</w:t>
            </w:r>
          </w:p>
        </w:tc>
      </w:tr>
      <w:tr w14:paraId="469B4D99">
        <w:tblPrEx>
          <w:tblCellMar>
            <w:top w:w="0" w:type="dxa"/>
            <w:left w:w="0" w:type="dxa"/>
            <w:bottom w:w="0" w:type="dxa"/>
            <w:right w:w="0" w:type="dxa"/>
          </w:tblCellMar>
        </w:tblPrEx>
        <w:trPr>
          <w:trHeight w:val="194" w:hRule="atLeast"/>
          <w:jc w:val="center"/>
        </w:trPr>
        <w:tc>
          <w:tcPr>
            <w:tcW w:w="21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568B984">
            <w:pPr>
              <w:pStyle w:val="39"/>
              <w:keepNext w:val="0"/>
              <w:keepLines w:val="0"/>
              <w:widowControl w:val="0"/>
            </w:pPr>
            <w:r>
              <w:t xml:space="preserve">PMCH bandwidth </w:t>
            </w:r>
          </w:p>
        </w:tc>
        <w:tc>
          <w:tcPr>
            <w:tcW w:w="5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0517D28">
            <w:pPr>
              <w:pStyle w:val="38"/>
              <w:keepNext w:val="0"/>
              <w:keepLines w:val="0"/>
              <w:widowControl w:val="0"/>
            </w:pPr>
            <w:r>
              <w:t>MHz</w:t>
            </w:r>
          </w:p>
        </w:tc>
        <w:tc>
          <w:tcPr>
            <w:tcW w:w="24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B67F09F">
            <w:pPr>
              <w:pStyle w:val="38"/>
              <w:keepNext w:val="0"/>
              <w:keepLines w:val="0"/>
              <w:widowControl w:val="0"/>
              <w:rPr>
                <w:rFonts w:eastAsiaTheme="minorEastAsia"/>
                <w:lang w:eastAsia="zh-CN"/>
              </w:rPr>
            </w:pPr>
            <w:r>
              <w:rPr>
                <w:rFonts w:hint="eastAsia" w:eastAsiaTheme="minorEastAsia"/>
                <w:lang w:eastAsia="zh-CN"/>
              </w:rPr>
              <w:t>10</w:t>
            </w:r>
          </w:p>
        </w:tc>
        <w:tc>
          <w:tcPr>
            <w:tcW w:w="2028" w:type="dxa"/>
            <w:tcBorders>
              <w:top w:val="single" w:color="auto" w:sz="4" w:space="0"/>
              <w:left w:val="single" w:color="auto" w:sz="4" w:space="0"/>
              <w:bottom w:val="single" w:color="auto" w:sz="4" w:space="0"/>
              <w:right w:val="single" w:color="auto" w:sz="4" w:space="0"/>
            </w:tcBorders>
          </w:tcPr>
          <w:p w14:paraId="11E0A6B9">
            <w:pPr>
              <w:pStyle w:val="38"/>
              <w:keepNext w:val="0"/>
              <w:keepLines w:val="0"/>
              <w:widowControl w:val="0"/>
              <w:rPr>
                <w:rFonts w:eastAsiaTheme="minorEastAsia"/>
                <w:lang w:eastAsia="zh-CN"/>
              </w:rPr>
            </w:pPr>
            <w:r>
              <w:rPr>
                <w:rFonts w:hint="eastAsia" w:eastAsiaTheme="minorEastAsia"/>
                <w:lang w:eastAsia="zh-CN"/>
              </w:rPr>
              <w:t>10</w:t>
            </w:r>
          </w:p>
        </w:tc>
      </w:tr>
      <w:tr w14:paraId="21163C07">
        <w:tblPrEx>
          <w:tblCellMar>
            <w:top w:w="0" w:type="dxa"/>
            <w:left w:w="0" w:type="dxa"/>
            <w:bottom w:w="0" w:type="dxa"/>
            <w:right w:w="0" w:type="dxa"/>
          </w:tblCellMar>
        </w:tblPrEx>
        <w:trPr>
          <w:trHeight w:val="201" w:hRule="atLeast"/>
          <w:jc w:val="center"/>
        </w:trPr>
        <w:tc>
          <w:tcPr>
            <w:tcW w:w="21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2BC675B">
            <w:pPr>
              <w:pStyle w:val="39"/>
              <w:keepNext w:val="0"/>
              <w:keepLines w:val="0"/>
              <w:widowControl w:val="0"/>
            </w:pPr>
            <w:r>
              <w:t>Allocated resource blocks</w:t>
            </w:r>
          </w:p>
        </w:tc>
        <w:tc>
          <w:tcPr>
            <w:tcW w:w="5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1F18E9D">
            <w:pPr>
              <w:pStyle w:val="38"/>
              <w:keepNext w:val="0"/>
              <w:keepLines w:val="0"/>
              <w:widowControl w:val="0"/>
            </w:pPr>
            <w:r>
              <w:t> </w:t>
            </w:r>
          </w:p>
        </w:tc>
        <w:tc>
          <w:tcPr>
            <w:tcW w:w="24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9091B1A">
            <w:pPr>
              <w:pStyle w:val="38"/>
              <w:keepNext w:val="0"/>
              <w:keepLines w:val="0"/>
              <w:widowControl w:val="0"/>
              <w:rPr>
                <w:rFonts w:eastAsiaTheme="minorEastAsia"/>
                <w:lang w:eastAsia="zh-CN"/>
              </w:rPr>
            </w:pPr>
            <w:r>
              <w:rPr>
                <w:rFonts w:hint="eastAsia" w:eastAsiaTheme="minorEastAsia"/>
                <w:lang w:eastAsia="zh-CN"/>
              </w:rPr>
              <w:t>50</w:t>
            </w:r>
          </w:p>
        </w:tc>
        <w:tc>
          <w:tcPr>
            <w:tcW w:w="2028" w:type="dxa"/>
            <w:tcBorders>
              <w:top w:val="single" w:color="auto" w:sz="4" w:space="0"/>
              <w:left w:val="single" w:color="auto" w:sz="4" w:space="0"/>
              <w:bottom w:val="single" w:color="auto" w:sz="4" w:space="0"/>
              <w:right w:val="single" w:color="auto" w:sz="4" w:space="0"/>
            </w:tcBorders>
          </w:tcPr>
          <w:p w14:paraId="18D4AF63">
            <w:pPr>
              <w:pStyle w:val="38"/>
              <w:keepNext w:val="0"/>
              <w:keepLines w:val="0"/>
              <w:widowControl w:val="0"/>
            </w:pPr>
            <w:r>
              <w:rPr>
                <w:rFonts w:hint="eastAsia" w:eastAsiaTheme="minorEastAsia"/>
                <w:lang w:eastAsia="zh-CN"/>
              </w:rPr>
              <w:t>5</w:t>
            </w:r>
            <w:r>
              <w:t>0</w:t>
            </w:r>
          </w:p>
        </w:tc>
      </w:tr>
      <w:tr w14:paraId="6F6ADBB8">
        <w:tblPrEx>
          <w:tblCellMar>
            <w:top w:w="0" w:type="dxa"/>
            <w:left w:w="0" w:type="dxa"/>
            <w:bottom w:w="0" w:type="dxa"/>
            <w:right w:w="0" w:type="dxa"/>
          </w:tblCellMar>
        </w:tblPrEx>
        <w:trPr>
          <w:trHeight w:val="229" w:hRule="atLeast"/>
          <w:jc w:val="center"/>
        </w:trPr>
        <w:tc>
          <w:tcPr>
            <w:tcW w:w="21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148CD8E">
            <w:pPr>
              <w:pStyle w:val="39"/>
              <w:keepNext w:val="0"/>
              <w:keepLines w:val="0"/>
              <w:widowControl w:val="0"/>
            </w:pPr>
            <w:r>
              <w:t>Allocated subframes per Radio Frame(Note1)</w:t>
            </w:r>
          </w:p>
        </w:tc>
        <w:tc>
          <w:tcPr>
            <w:tcW w:w="5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25E3DEF">
            <w:pPr>
              <w:pStyle w:val="38"/>
              <w:keepNext w:val="0"/>
              <w:keepLines w:val="0"/>
              <w:widowControl w:val="0"/>
            </w:pPr>
            <w:r>
              <w:t> </w:t>
            </w:r>
          </w:p>
        </w:tc>
        <w:tc>
          <w:tcPr>
            <w:tcW w:w="24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CDC3EC9">
            <w:pPr>
              <w:pStyle w:val="38"/>
              <w:keepNext w:val="0"/>
              <w:keepLines w:val="0"/>
              <w:widowControl w:val="0"/>
            </w:pPr>
            <w:r>
              <w:t>10</w:t>
            </w:r>
          </w:p>
        </w:tc>
        <w:tc>
          <w:tcPr>
            <w:tcW w:w="2028" w:type="dxa"/>
            <w:tcBorders>
              <w:top w:val="single" w:color="auto" w:sz="4" w:space="0"/>
              <w:left w:val="single" w:color="auto" w:sz="4" w:space="0"/>
              <w:bottom w:val="single" w:color="auto" w:sz="4" w:space="0"/>
              <w:right w:val="single" w:color="auto" w:sz="4" w:space="0"/>
            </w:tcBorders>
          </w:tcPr>
          <w:p w14:paraId="19B941A3">
            <w:pPr>
              <w:pStyle w:val="38"/>
              <w:keepNext w:val="0"/>
              <w:keepLines w:val="0"/>
              <w:widowControl w:val="0"/>
            </w:pPr>
            <w:r>
              <w:t>10</w:t>
            </w:r>
          </w:p>
        </w:tc>
      </w:tr>
      <w:tr w14:paraId="789C25DF">
        <w:tblPrEx>
          <w:tblCellMar>
            <w:top w:w="0" w:type="dxa"/>
            <w:left w:w="0" w:type="dxa"/>
            <w:bottom w:w="0" w:type="dxa"/>
            <w:right w:w="0" w:type="dxa"/>
          </w:tblCellMar>
        </w:tblPrEx>
        <w:trPr>
          <w:trHeight w:val="271" w:hRule="atLeast"/>
          <w:jc w:val="center"/>
        </w:trPr>
        <w:tc>
          <w:tcPr>
            <w:tcW w:w="21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923B2D9">
            <w:pPr>
              <w:pStyle w:val="39"/>
              <w:keepNext w:val="0"/>
              <w:keepLines w:val="0"/>
              <w:widowControl w:val="0"/>
            </w:pPr>
            <w:r>
              <w:t>Modulation</w:t>
            </w:r>
          </w:p>
        </w:tc>
        <w:tc>
          <w:tcPr>
            <w:tcW w:w="5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64353D7">
            <w:pPr>
              <w:pStyle w:val="38"/>
              <w:keepNext w:val="0"/>
              <w:keepLines w:val="0"/>
              <w:widowControl w:val="0"/>
            </w:pPr>
            <w:r>
              <w:t> </w:t>
            </w:r>
          </w:p>
        </w:tc>
        <w:tc>
          <w:tcPr>
            <w:tcW w:w="24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3B164C3">
            <w:pPr>
              <w:pStyle w:val="38"/>
              <w:keepNext w:val="0"/>
              <w:keepLines w:val="0"/>
              <w:widowControl w:val="0"/>
            </w:pPr>
            <w:r>
              <w:t>QPSK</w:t>
            </w:r>
          </w:p>
        </w:tc>
        <w:tc>
          <w:tcPr>
            <w:tcW w:w="2028" w:type="dxa"/>
            <w:tcBorders>
              <w:top w:val="single" w:color="auto" w:sz="4" w:space="0"/>
              <w:left w:val="single" w:color="auto" w:sz="4" w:space="0"/>
              <w:bottom w:val="single" w:color="auto" w:sz="4" w:space="0"/>
              <w:right w:val="single" w:color="auto" w:sz="4" w:space="0"/>
            </w:tcBorders>
          </w:tcPr>
          <w:p w14:paraId="7448B618">
            <w:pPr>
              <w:pStyle w:val="38"/>
              <w:keepNext w:val="0"/>
              <w:keepLines w:val="0"/>
              <w:widowControl w:val="0"/>
            </w:pPr>
            <w:r>
              <w:rPr>
                <w:rFonts w:hint="eastAsia"/>
                <w:lang w:eastAsia="zh-CN"/>
              </w:rPr>
              <w:t>16</w:t>
            </w:r>
            <w:r>
              <w:rPr>
                <w:lang w:eastAsia="zh-CN"/>
              </w:rPr>
              <w:t>QAM</w:t>
            </w:r>
          </w:p>
        </w:tc>
      </w:tr>
      <w:tr w14:paraId="3C418A75">
        <w:tblPrEx>
          <w:tblCellMar>
            <w:top w:w="0" w:type="dxa"/>
            <w:left w:w="0" w:type="dxa"/>
            <w:bottom w:w="0" w:type="dxa"/>
            <w:right w:w="0" w:type="dxa"/>
          </w:tblCellMar>
        </w:tblPrEx>
        <w:trPr>
          <w:trHeight w:val="249" w:hRule="atLeast"/>
          <w:jc w:val="center"/>
        </w:trPr>
        <w:tc>
          <w:tcPr>
            <w:tcW w:w="21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822B0AC">
            <w:pPr>
              <w:pStyle w:val="39"/>
              <w:keepNext w:val="0"/>
              <w:keepLines w:val="0"/>
              <w:widowControl w:val="0"/>
            </w:pPr>
            <w:r>
              <w:t>Target Coding Rate</w:t>
            </w:r>
          </w:p>
        </w:tc>
        <w:tc>
          <w:tcPr>
            <w:tcW w:w="5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2AB88A1">
            <w:pPr>
              <w:pStyle w:val="38"/>
              <w:keepNext w:val="0"/>
              <w:keepLines w:val="0"/>
              <w:widowControl w:val="0"/>
            </w:pPr>
            <w:r>
              <w:t> </w:t>
            </w:r>
          </w:p>
        </w:tc>
        <w:tc>
          <w:tcPr>
            <w:tcW w:w="24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DA52A0E">
            <w:pPr>
              <w:pStyle w:val="38"/>
              <w:keepNext w:val="0"/>
              <w:keepLines w:val="0"/>
              <w:widowControl w:val="0"/>
            </w:pPr>
            <w:r>
              <w:t>1/3</w:t>
            </w:r>
          </w:p>
        </w:tc>
        <w:tc>
          <w:tcPr>
            <w:tcW w:w="2028" w:type="dxa"/>
            <w:tcBorders>
              <w:top w:val="single" w:color="auto" w:sz="4" w:space="0"/>
              <w:left w:val="single" w:color="auto" w:sz="4" w:space="0"/>
              <w:bottom w:val="single" w:color="auto" w:sz="4" w:space="0"/>
              <w:right w:val="single" w:color="auto" w:sz="4" w:space="0"/>
            </w:tcBorders>
          </w:tcPr>
          <w:p w14:paraId="481E0E2C">
            <w:pPr>
              <w:pStyle w:val="38"/>
              <w:keepNext w:val="0"/>
              <w:keepLines w:val="0"/>
              <w:widowControl w:val="0"/>
            </w:pPr>
            <w:r>
              <w:rPr>
                <w:lang w:eastAsia="zh-CN"/>
              </w:rPr>
              <w:t>3/4</w:t>
            </w:r>
          </w:p>
        </w:tc>
      </w:tr>
      <w:tr w14:paraId="6DAEAA66">
        <w:tblPrEx>
          <w:tblCellMar>
            <w:top w:w="0" w:type="dxa"/>
            <w:left w:w="0" w:type="dxa"/>
            <w:bottom w:w="0" w:type="dxa"/>
            <w:right w:w="0" w:type="dxa"/>
          </w:tblCellMar>
        </w:tblPrEx>
        <w:trPr>
          <w:trHeight w:val="249" w:hRule="atLeast"/>
          <w:jc w:val="center"/>
        </w:trPr>
        <w:tc>
          <w:tcPr>
            <w:tcW w:w="21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6750EA0">
            <w:pPr>
              <w:pStyle w:val="39"/>
              <w:keepNext w:val="0"/>
              <w:keepLines w:val="0"/>
              <w:widowControl w:val="0"/>
            </w:pPr>
            <w:r>
              <w:t>Information Bit Payload (Note 2)</w:t>
            </w:r>
          </w:p>
        </w:tc>
        <w:tc>
          <w:tcPr>
            <w:tcW w:w="5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53A99C7">
            <w:pPr>
              <w:pStyle w:val="38"/>
              <w:keepNext w:val="0"/>
              <w:keepLines w:val="0"/>
              <w:widowControl w:val="0"/>
            </w:pPr>
            <w:r>
              <w:t> </w:t>
            </w:r>
          </w:p>
        </w:tc>
        <w:tc>
          <w:tcPr>
            <w:tcW w:w="24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A9E44D4">
            <w:pPr>
              <w:pStyle w:val="38"/>
              <w:keepNext w:val="0"/>
              <w:keepLines w:val="0"/>
              <w:widowControl w:val="0"/>
            </w:pPr>
            <w:r>
              <w:t> </w:t>
            </w:r>
          </w:p>
        </w:tc>
        <w:tc>
          <w:tcPr>
            <w:tcW w:w="2028" w:type="dxa"/>
            <w:tcBorders>
              <w:top w:val="single" w:color="auto" w:sz="4" w:space="0"/>
              <w:left w:val="single" w:color="auto" w:sz="4" w:space="0"/>
              <w:bottom w:val="single" w:color="auto" w:sz="4" w:space="0"/>
              <w:right w:val="single" w:color="auto" w:sz="4" w:space="0"/>
            </w:tcBorders>
          </w:tcPr>
          <w:p w14:paraId="6468CDFC">
            <w:pPr>
              <w:pStyle w:val="38"/>
              <w:keepNext w:val="0"/>
              <w:keepLines w:val="0"/>
              <w:widowControl w:val="0"/>
            </w:pPr>
          </w:p>
        </w:tc>
      </w:tr>
      <w:tr w14:paraId="2AE6C187">
        <w:tblPrEx>
          <w:tblCellMar>
            <w:top w:w="0" w:type="dxa"/>
            <w:left w:w="0" w:type="dxa"/>
            <w:bottom w:w="0" w:type="dxa"/>
            <w:right w:w="0" w:type="dxa"/>
          </w:tblCellMar>
        </w:tblPrEx>
        <w:trPr>
          <w:trHeight w:val="243" w:hRule="atLeast"/>
          <w:jc w:val="center"/>
        </w:trPr>
        <w:tc>
          <w:tcPr>
            <w:tcW w:w="21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4F7EC74">
            <w:pPr>
              <w:pStyle w:val="39"/>
              <w:keepNext w:val="0"/>
              <w:keepLines w:val="0"/>
              <w:widowControl w:val="0"/>
            </w:pPr>
            <w:r>
              <w:t>For Sub-Frames 0,1,2,3,4,5,6,7,8,9</w:t>
            </w:r>
          </w:p>
        </w:tc>
        <w:tc>
          <w:tcPr>
            <w:tcW w:w="5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7C8ACE8">
            <w:pPr>
              <w:pStyle w:val="38"/>
              <w:keepNext w:val="0"/>
              <w:keepLines w:val="0"/>
              <w:widowControl w:val="0"/>
            </w:pPr>
            <w:r>
              <w:t>Bits</w:t>
            </w:r>
          </w:p>
        </w:tc>
        <w:tc>
          <w:tcPr>
            <w:tcW w:w="24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A131EE5">
            <w:pPr>
              <w:pStyle w:val="38"/>
              <w:keepNext w:val="0"/>
              <w:keepLines w:val="0"/>
              <w:widowControl w:val="0"/>
              <w:rPr>
                <w:rFonts w:hint="default" w:eastAsiaTheme="minorEastAsia"/>
                <w:highlight w:val="yellow"/>
                <w:lang w:val="en-US" w:eastAsia="zh-CN"/>
              </w:rPr>
            </w:pPr>
            <w:r>
              <w:rPr>
                <w:rFonts w:hint="eastAsia" w:eastAsiaTheme="minorEastAsia"/>
                <w:highlight w:val="yellow"/>
                <w:lang w:val="en-US" w:eastAsia="zh-CN"/>
              </w:rPr>
              <w:t>3624</w:t>
            </w:r>
          </w:p>
        </w:tc>
        <w:tc>
          <w:tcPr>
            <w:tcW w:w="2028" w:type="dxa"/>
            <w:tcBorders>
              <w:top w:val="single" w:color="auto" w:sz="4" w:space="0"/>
              <w:left w:val="single" w:color="auto" w:sz="4" w:space="0"/>
              <w:bottom w:val="single" w:color="auto" w:sz="4" w:space="0"/>
              <w:right w:val="single" w:color="auto" w:sz="4" w:space="0"/>
            </w:tcBorders>
          </w:tcPr>
          <w:p w14:paraId="7E0C58C6">
            <w:pPr>
              <w:pStyle w:val="38"/>
              <w:keepNext w:val="0"/>
              <w:keepLines w:val="0"/>
              <w:widowControl w:val="0"/>
              <w:rPr>
                <w:rFonts w:hint="default" w:eastAsiaTheme="minorEastAsia"/>
                <w:highlight w:val="yellow"/>
                <w:lang w:val="en-US"/>
              </w:rPr>
            </w:pPr>
            <w:r>
              <w:rPr>
                <w:rFonts w:hint="eastAsia" w:eastAsiaTheme="minorEastAsia"/>
                <w:highlight w:val="yellow"/>
                <w:lang w:val="en-US" w:eastAsia="zh-CN"/>
              </w:rPr>
              <w:t>15264</w:t>
            </w:r>
          </w:p>
        </w:tc>
      </w:tr>
      <w:tr w14:paraId="5A540B90">
        <w:tblPrEx>
          <w:tblCellMar>
            <w:top w:w="0" w:type="dxa"/>
            <w:left w:w="0" w:type="dxa"/>
            <w:bottom w:w="0" w:type="dxa"/>
            <w:right w:w="0" w:type="dxa"/>
          </w:tblCellMar>
        </w:tblPrEx>
        <w:trPr>
          <w:trHeight w:val="252" w:hRule="atLeast"/>
          <w:jc w:val="center"/>
        </w:trPr>
        <w:tc>
          <w:tcPr>
            <w:tcW w:w="21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BE02236">
            <w:pPr>
              <w:pStyle w:val="39"/>
              <w:keepNext w:val="0"/>
              <w:keepLines w:val="0"/>
              <w:widowControl w:val="0"/>
            </w:pPr>
            <w:r>
              <w:t>Number of Code Blocks per Sub-Frame (Note 3)</w:t>
            </w:r>
          </w:p>
        </w:tc>
        <w:tc>
          <w:tcPr>
            <w:tcW w:w="5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A04C117">
            <w:pPr>
              <w:pStyle w:val="38"/>
              <w:keepNext w:val="0"/>
              <w:keepLines w:val="0"/>
              <w:widowControl w:val="0"/>
            </w:pPr>
            <w:r>
              <w:t> </w:t>
            </w:r>
          </w:p>
        </w:tc>
        <w:tc>
          <w:tcPr>
            <w:tcW w:w="24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CE1257B">
            <w:pPr>
              <w:pStyle w:val="38"/>
              <w:keepNext w:val="0"/>
              <w:keepLines w:val="0"/>
              <w:widowControl w:val="0"/>
            </w:pPr>
            <w:r>
              <w:t>1</w:t>
            </w:r>
          </w:p>
        </w:tc>
        <w:tc>
          <w:tcPr>
            <w:tcW w:w="2028" w:type="dxa"/>
            <w:tcBorders>
              <w:top w:val="single" w:color="auto" w:sz="4" w:space="0"/>
              <w:left w:val="single" w:color="auto" w:sz="4" w:space="0"/>
              <w:bottom w:val="single" w:color="auto" w:sz="4" w:space="0"/>
              <w:right w:val="single" w:color="auto" w:sz="4" w:space="0"/>
            </w:tcBorders>
          </w:tcPr>
          <w:p w14:paraId="79D0B8DB">
            <w:pPr>
              <w:pStyle w:val="38"/>
              <w:keepNext w:val="0"/>
              <w:keepLines w:val="0"/>
              <w:widowControl w:val="0"/>
            </w:pPr>
            <w:r>
              <w:t>3</w:t>
            </w:r>
          </w:p>
        </w:tc>
      </w:tr>
      <w:tr w14:paraId="45234D54">
        <w:tblPrEx>
          <w:tblCellMar>
            <w:top w:w="0" w:type="dxa"/>
            <w:left w:w="0" w:type="dxa"/>
            <w:bottom w:w="0" w:type="dxa"/>
            <w:right w:w="0" w:type="dxa"/>
          </w:tblCellMar>
        </w:tblPrEx>
        <w:trPr>
          <w:trHeight w:val="252" w:hRule="atLeast"/>
          <w:jc w:val="center"/>
        </w:trPr>
        <w:tc>
          <w:tcPr>
            <w:tcW w:w="21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7DBE811">
            <w:pPr>
              <w:pStyle w:val="39"/>
              <w:keepNext w:val="0"/>
              <w:keepLines w:val="0"/>
              <w:widowControl w:val="0"/>
            </w:pPr>
            <w:r>
              <w:t>Binary Channel Bits Per Subframe</w:t>
            </w:r>
          </w:p>
        </w:tc>
        <w:tc>
          <w:tcPr>
            <w:tcW w:w="5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7761298">
            <w:pPr>
              <w:pStyle w:val="38"/>
              <w:keepNext w:val="0"/>
              <w:keepLines w:val="0"/>
              <w:widowControl w:val="0"/>
            </w:pPr>
            <w:r>
              <w:t> </w:t>
            </w:r>
          </w:p>
        </w:tc>
        <w:tc>
          <w:tcPr>
            <w:tcW w:w="24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95B9EB7">
            <w:pPr>
              <w:pStyle w:val="38"/>
              <w:keepNext w:val="0"/>
              <w:keepLines w:val="0"/>
              <w:widowControl w:val="0"/>
            </w:pPr>
            <w:r>
              <w:t> </w:t>
            </w:r>
          </w:p>
        </w:tc>
        <w:tc>
          <w:tcPr>
            <w:tcW w:w="2028" w:type="dxa"/>
            <w:tcBorders>
              <w:top w:val="single" w:color="auto" w:sz="4" w:space="0"/>
              <w:left w:val="single" w:color="auto" w:sz="4" w:space="0"/>
              <w:bottom w:val="single" w:color="auto" w:sz="4" w:space="0"/>
              <w:right w:val="single" w:color="auto" w:sz="4" w:space="0"/>
            </w:tcBorders>
          </w:tcPr>
          <w:p w14:paraId="3F4D847C">
            <w:pPr>
              <w:pStyle w:val="38"/>
              <w:keepNext w:val="0"/>
              <w:keepLines w:val="0"/>
              <w:widowControl w:val="0"/>
            </w:pPr>
            <w:r>
              <w:t> </w:t>
            </w:r>
          </w:p>
        </w:tc>
      </w:tr>
      <w:tr w14:paraId="3144D5D9">
        <w:tblPrEx>
          <w:tblCellMar>
            <w:top w:w="0" w:type="dxa"/>
            <w:left w:w="0" w:type="dxa"/>
            <w:bottom w:w="0" w:type="dxa"/>
            <w:right w:w="0" w:type="dxa"/>
          </w:tblCellMar>
        </w:tblPrEx>
        <w:trPr>
          <w:trHeight w:val="246" w:hRule="atLeast"/>
          <w:jc w:val="center"/>
        </w:trPr>
        <w:tc>
          <w:tcPr>
            <w:tcW w:w="21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7E42286">
            <w:pPr>
              <w:pStyle w:val="39"/>
              <w:keepNext w:val="0"/>
              <w:keepLines w:val="0"/>
              <w:widowControl w:val="0"/>
            </w:pPr>
            <w:r>
              <w:t>For Sub-Frames 0,1,2,3,4,5,6,7,8,9</w:t>
            </w:r>
          </w:p>
        </w:tc>
        <w:tc>
          <w:tcPr>
            <w:tcW w:w="5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0879387">
            <w:pPr>
              <w:pStyle w:val="38"/>
              <w:keepNext w:val="0"/>
              <w:keepLines w:val="0"/>
              <w:widowControl w:val="0"/>
            </w:pPr>
            <w:r>
              <w:t>Bits</w:t>
            </w:r>
          </w:p>
        </w:tc>
        <w:tc>
          <w:tcPr>
            <w:tcW w:w="24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916D945">
            <w:pPr>
              <w:pStyle w:val="38"/>
              <w:keepNext w:val="0"/>
              <w:keepLines w:val="0"/>
              <w:widowControl w:val="0"/>
              <w:rPr>
                <w:rFonts w:hint="default" w:eastAsiaTheme="minorEastAsia"/>
                <w:highlight w:val="yellow"/>
                <w:lang w:val="en-US" w:eastAsia="zh-CN"/>
              </w:rPr>
            </w:pPr>
            <w:r>
              <w:rPr>
                <w:rFonts w:hint="eastAsia" w:eastAsiaTheme="minorEastAsia"/>
                <w:highlight w:val="yellow"/>
                <w:lang w:val="en-US" w:eastAsia="zh-CN"/>
              </w:rPr>
              <w:t>10200</w:t>
            </w:r>
          </w:p>
        </w:tc>
        <w:tc>
          <w:tcPr>
            <w:tcW w:w="2028" w:type="dxa"/>
            <w:tcBorders>
              <w:top w:val="single" w:color="auto" w:sz="4" w:space="0"/>
              <w:left w:val="single" w:color="auto" w:sz="4" w:space="0"/>
              <w:bottom w:val="single" w:color="auto" w:sz="4" w:space="0"/>
              <w:right w:val="single" w:color="auto" w:sz="4" w:space="0"/>
            </w:tcBorders>
          </w:tcPr>
          <w:p w14:paraId="019349B5">
            <w:pPr>
              <w:pStyle w:val="38"/>
              <w:keepNext w:val="0"/>
              <w:keepLines w:val="0"/>
              <w:widowControl w:val="0"/>
              <w:rPr>
                <w:rFonts w:eastAsiaTheme="minorEastAsia"/>
                <w:highlight w:val="yellow"/>
                <w:lang w:eastAsia="zh-CN"/>
              </w:rPr>
            </w:pPr>
            <w:r>
              <w:rPr>
                <w:rFonts w:hint="eastAsia" w:eastAsiaTheme="minorEastAsia"/>
                <w:highlight w:val="yellow"/>
                <w:lang w:eastAsia="zh-CN"/>
              </w:rPr>
              <w:t>20400</w:t>
            </w:r>
          </w:p>
        </w:tc>
      </w:tr>
      <w:tr w14:paraId="4B39ECE5">
        <w:tblPrEx>
          <w:tblCellMar>
            <w:top w:w="0" w:type="dxa"/>
            <w:left w:w="0" w:type="dxa"/>
            <w:bottom w:w="0" w:type="dxa"/>
            <w:right w:w="0" w:type="dxa"/>
          </w:tblCellMar>
        </w:tblPrEx>
        <w:trPr>
          <w:trHeight w:val="263" w:hRule="atLeast"/>
          <w:jc w:val="center"/>
        </w:trPr>
        <w:tc>
          <w:tcPr>
            <w:tcW w:w="21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8C6BD7C">
            <w:pPr>
              <w:pStyle w:val="39"/>
              <w:keepNext w:val="0"/>
              <w:keepLines w:val="0"/>
              <w:widowControl w:val="0"/>
            </w:pPr>
            <w:r>
              <w:t>MBMS UE Category</w:t>
            </w:r>
          </w:p>
        </w:tc>
        <w:tc>
          <w:tcPr>
            <w:tcW w:w="5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7D16401">
            <w:pPr>
              <w:pStyle w:val="38"/>
              <w:keepNext w:val="0"/>
              <w:keepLines w:val="0"/>
              <w:widowControl w:val="0"/>
            </w:pPr>
            <w:r>
              <w:t> </w:t>
            </w:r>
          </w:p>
        </w:tc>
        <w:tc>
          <w:tcPr>
            <w:tcW w:w="24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C56C26C">
            <w:pPr>
              <w:pStyle w:val="38"/>
              <w:keepNext w:val="0"/>
              <w:keepLines w:val="0"/>
              <w:widowControl w:val="0"/>
            </w:pPr>
            <w:r>
              <w:t>≥ 1</w:t>
            </w:r>
          </w:p>
        </w:tc>
        <w:tc>
          <w:tcPr>
            <w:tcW w:w="2028" w:type="dxa"/>
            <w:tcBorders>
              <w:top w:val="single" w:color="auto" w:sz="4" w:space="0"/>
              <w:left w:val="single" w:color="auto" w:sz="4" w:space="0"/>
              <w:bottom w:val="single" w:color="auto" w:sz="4" w:space="0"/>
              <w:right w:val="single" w:color="auto" w:sz="4" w:space="0"/>
            </w:tcBorders>
          </w:tcPr>
          <w:p w14:paraId="449331B7">
            <w:pPr>
              <w:pStyle w:val="38"/>
              <w:keepNext w:val="0"/>
              <w:keepLines w:val="0"/>
              <w:widowControl w:val="0"/>
            </w:pPr>
            <w:r>
              <w:t>≥ 2</w:t>
            </w:r>
          </w:p>
        </w:tc>
      </w:tr>
      <w:tr w14:paraId="60A65CA2">
        <w:tblPrEx>
          <w:tblCellMar>
            <w:top w:w="0" w:type="dxa"/>
            <w:left w:w="0" w:type="dxa"/>
            <w:bottom w:w="0" w:type="dxa"/>
            <w:right w:w="0" w:type="dxa"/>
          </w:tblCellMar>
        </w:tblPrEx>
        <w:trPr>
          <w:trHeight w:val="66" w:hRule="atLeast"/>
          <w:jc w:val="center"/>
        </w:trPr>
        <w:tc>
          <w:tcPr>
            <w:tcW w:w="7197" w:type="dxa"/>
            <w:gridSpan w:val="4"/>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5A19CAC">
            <w:pPr>
              <w:pStyle w:val="56"/>
              <w:keepNext w:val="0"/>
              <w:keepLines w:val="0"/>
              <w:widowControl w:val="0"/>
            </w:pPr>
            <w:r>
              <w:t xml:space="preserve">Note </w:t>
            </w:r>
            <w:r>
              <w:rPr>
                <w:rFonts w:hint="eastAsia"/>
                <w:lang w:eastAsia="zh-CN"/>
              </w:rPr>
              <w:t>1</w:t>
            </w:r>
            <w:r>
              <w:t>:</w:t>
            </w:r>
            <w:r>
              <w:tab/>
            </w:r>
            <w:r>
              <w:t>2 OFDM symbols are reserved for PDCCH; and no CRS allocated as per TS 36.211 [4].</w:t>
            </w:r>
          </w:p>
          <w:p w14:paraId="794E1655">
            <w:pPr>
              <w:pStyle w:val="56"/>
              <w:keepNext w:val="0"/>
              <w:keepLines w:val="0"/>
              <w:widowControl w:val="0"/>
            </w:pPr>
            <w:r>
              <w:t xml:space="preserve">Note </w:t>
            </w:r>
            <w:r>
              <w:rPr>
                <w:rFonts w:hint="eastAsia"/>
                <w:lang w:eastAsia="zh-CN"/>
              </w:rPr>
              <w:t>2</w:t>
            </w:r>
            <w:r>
              <w:t>:</w:t>
            </w:r>
            <w:r>
              <w:tab/>
            </w:r>
            <w:r>
              <w:t>If more than one Code Block is present, an additional CRC sequence of L = 24 Bits is attached to each Code Block (otherwise L = 0 Bit).</w:t>
            </w:r>
          </w:p>
        </w:tc>
      </w:tr>
    </w:tbl>
    <w:p w14:paraId="5E4CD667">
      <w:pPr>
        <w:widowControl w:val="0"/>
        <w:bidi w:val="0"/>
        <w:rPr>
          <w:rFonts w:hint="eastAsia" w:eastAsiaTheme="minorEastAsia"/>
          <w:lang w:val="en-US" w:eastAsia="zh-CN"/>
        </w:rPr>
      </w:pPr>
    </w:p>
    <w:p w14:paraId="52BD6320">
      <w:pPr>
        <w:widowControl w:val="0"/>
        <w:bidi w:val="0"/>
        <w:rPr>
          <w:rFonts w:hint="eastAsia" w:eastAsia="宋体"/>
          <w:i/>
          <w:iCs/>
          <w:lang w:val="en-US" w:eastAsia="zh-CN"/>
        </w:rPr>
      </w:pPr>
      <w:r>
        <w:rPr>
          <w:rFonts w:hint="eastAsia" w:eastAsiaTheme="minorEastAsia"/>
          <w:b/>
          <w:bCs/>
          <w:i/>
          <w:iCs/>
          <w:lang w:val="en-US" w:eastAsia="zh-CN"/>
        </w:rPr>
        <w:t>Proposal 3</w:t>
      </w:r>
      <w:r>
        <w:rPr>
          <w:rFonts w:hint="eastAsia" w:eastAsiaTheme="minorEastAsia"/>
          <w:i/>
          <w:iCs/>
          <w:lang w:val="en-US" w:eastAsia="zh-CN"/>
        </w:rPr>
        <w:t>: To define</w:t>
      </w:r>
      <w:r>
        <w:rPr>
          <w:rFonts w:hint="eastAsia" w:eastAsia="宋体"/>
          <w:i/>
          <w:iCs/>
          <w:lang w:val="en-US" w:eastAsia="zh-CN"/>
        </w:rPr>
        <w:t xml:space="preserve"> </w:t>
      </w:r>
      <w:r>
        <w:rPr>
          <w:i/>
          <w:iCs/>
        </w:rPr>
        <w:t>Fixed Reference Channel for PMCH Receiver Requirements (15 kHz SCS)</w:t>
      </w:r>
      <w:r>
        <w:rPr>
          <w:rFonts w:hint="eastAsia" w:eastAsia="宋体"/>
          <w:i/>
          <w:iCs/>
          <w:lang w:val="en-US" w:eastAsia="zh-CN"/>
        </w:rPr>
        <w:t xml:space="preserve"> as </w:t>
      </w:r>
      <w:r>
        <w:rPr>
          <w:i/>
          <w:iCs/>
        </w:rPr>
        <w:t>Table A.</w:t>
      </w:r>
      <w:r>
        <w:rPr>
          <w:rFonts w:hint="eastAsia" w:eastAsiaTheme="minorEastAsia"/>
          <w:i/>
          <w:iCs/>
          <w:lang w:eastAsia="zh-CN"/>
        </w:rPr>
        <w:t>1</w:t>
      </w:r>
      <w:r>
        <w:rPr>
          <w:i/>
          <w:iCs/>
        </w:rPr>
        <w:t>.</w:t>
      </w:r>
      <w:r>
        <w:rPr>
          <w:rFonts w:hint="eastAsia" w:eastAsiaTheme="minorEastAsia"/>
          <w:i/>
          <w:iCs/>
          <w:lang w:eastAsia="zh-CN"/>
        </w:rPr>
        <w:t>3</w:t>
      </w:r>
      <w:r>
        <w:rPr>
          <w:i/>
          <w:iCs/>
        </w:rPr>
        <w:t>.1-1</w:t>
      </w:r>
      <w:r>
        <w:rPr>
          <w:rFonts w:hint="eastAsia" w:eastAsia="宋体"/>
          <w:i/>
          <w:iCs/>
          <w:lang w:val="en-US" w:eastAsia="zh-CN"/>
        </w:rPr>
        <w:t>.</w:t>
      </w:r>
    </w:p>
    <w:p w14:paraId="7A14F9A6">
      <w:pPr>
        <w:pStyle w:val="3"/>
        <w:bidi w:val="0"/>
        <w:rPr>
          <w:rFonts w:hint="eastAsia"/>
          <w:lang w:val="en-US" w:eastAsia="zh-CN"/>
        </w:rPr>
      </w:pPr>
      <w:r>
        <w:rPr>
          <w:rFonts w:hint="eastAsia"/>
          <w:lang w:val="en-US" w:eastAsia="zh-CN"/>
        </w:rPr>
        <w:t>2.3 Spurious response</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17297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08DA3E77">
            <w:pPr>
              <w:rPr>
                <w:b/>
                <w:u w:val="single"/>
                <w:lang w:eastAsia="zh-CN"/>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1-9</w:t>
            </w:r>
            <w:r>
              <w:rPr>
                <w:b/>
                <w:u w:val="single"/>
                <w:lang w:eastAsia="ko-KR"/>
              </w:rPr>
              <w:t xml:space="preserve">: </w:t>
            </w:r>
            <w:r>
              <w:rPr>
                <w:b/>
                <w:u w:val="single"/>
                <w:lang w:eastAsia="zh-CN"/>
              </w:rPr>
              <w:t>Spurious emissions</w:t>
            </w:r>
          </w:p>
          <w:p w14:paraId="2DF6F50E">
            <w:pPr>
              <w:pStyle w:val="32"/>
              <w:numPr>
                <w:ilvl w:val="0"/>
                <w:numId w:val="5"/>
              </w:numPr>
              <w:overflowPunct/>
              <w:autoSpaceDE/>
              <w:autoSpaceDN/>
              <w:adjustRightInd/>
              <w:spacing w:after="120"/>
              <w:ind w:left="720" w:firstLineChars="0"/>
              <w:textAlignment w:val="auto"/>
              <w:rPr>
                <w:rFonts w:hint="default" w:ascii="Times New Roman" w:hAnsi="Times New Roman" w:eastAsia="宋体" w:cs="Times New Roman"/>
                <w:szCs w:val="24"/>
                <w:highlight w:val="none"/>
                <w:lang w:eastAsia="zh-CN"/>
              </w:rPr>
            </w:pPr>
            <w:r>
              <w:rPr>
                <w:rFonts w:hint="default" w:ascii="Times New Roman" w:hAnsi="Times New Roman" w:eastAsia="宋体" w:cs="Times New Roman"/>
                <w:szCs w:val="24"/>
                <w:highlight w:val="none"/>
                <w:lang w:eastAsia="zh-CN"/>
              </w:rPr>
              <w:t>Agreement:</w:t>
            </w:r>
          </w:p>
          <w:p w14:paraId="1EE626E2">
            <w:pPr>
              <w:pStyle w:val="32"/>
              <w:numPr>
                <w:ilvl w:val="1"/>
                <w:numId w:val="5"/>
              </w:numPr>
              <w:overflowPunct/>
              <w:autoSpaceDE/>
              <w:autoSpaceDN/>
              <w:adjustRightInd/>
              <w:spacing w:after="120"/>
              <w:ind w:left="1440" w:firstLineChars="0"/>
              <w:textAlignment w:val="auto"/>
              <w:rPr>
                <w:rFonts w:hint="default" w:ascii="Times New Roman" w:hAnsi="Times New Roman" w:cs="Times New Roman"/>
                <w:highlight w:val="none"/>
              </w:rPr>
            </w:pPr>
            <w:r>
              <w:rPr>
                <w:rFonts w:hint="default" w:ascii="Times New Roman" w:hAnsi="Times New Roman" w:cs="Times New Roman" w:eastAsiaTheme="minorEastAsia"/>
                <w:highlight w:val="none"/>
                <w:lang w:eastAsia="zh-CN"/>
              </w:rPr>
              <w:t>No spec impact.</w:t>
            </w:r>
          </w:p>
          <w:p w14:paraId="5775CAF9">
            <w:pPr>
              <w:rPr>
                <w:rFonts w:hint="eastAsia"/>
                <w:vertAlign w:val="baseline"/>
                <w:lang w:val="en-US" w:eastAsia="zh-CN"/>
              </w:rPr>
            </w:pPr>
          </w:p>
        </w:tc>
      </w:tr>
    </w:tbl>
    <w:p w14:paraId="24AB9EAF">
      <w:pPr>
        <w:rPr>
          <w:rFonts w:hint="eastAsia" w:eastAsia="宋体"/>
          <w:szCs w:val="24"/>
          <w:lang w:val="en-US" w:eastAsia="zh-CN"/>
        </w:rPr>
      </w:pPr>
      <w:r>
        <w:rPr>
          <w:rFonts w:hint="eastAsia"/>
          <w:lang w:val="en-US" w:eastAsia="zh-CN"/>
        </w:rPr>
        <w:t xml:space="preserve">After our review of the agreements, it seems the agreement for the spurious emission requirement made in last meeting is not appropriate, we need to specify it for </w:t>
      </w:r>
      <w:r>
        <w:rPr>
          <w:rFonts w:ascii="Times New Roman" w:hAnsi="Times New Roman" w:eastAsia="宋体" w:cs="Times New Roman"/>
          <w:sz w:val="20"/>
          <w:szCs w:val="20"/>
          <w:lang w:eastAsia="zh-CN"/>
        </w:rPr>
        <w:t>LTE based 5G broadcast utilizing satellite</w:t>
      </w:r>
      <w:r>
        <w:rPr>
          <w:rFonts w:hint="eastAsia" w:eastAsia="宋体" w:cs="Times New Roman"/>
          <w:sz w:val="20"/>
          <w:szCs w:val="20"/>
          <w:lang w:val="en-US" w:eastAsia="zh-CN"/>
        </w:rPr>
        <w:t xml:space="preserve">. The 10 MHz LTE </w:t>
      </w:r>
      <w:r>
        <w:rPr>
          <w:rFonts w:hint="eastAsia"/>
          <w:lang w:val="en-US" w:eastAsia="zh-CN"/>
        </w:rPr>
        <w:t xml:space="preserve">spurious emission can be reused for </w:t>
      </w:r>
      <w:r>
        <w:rPr>
          <w:rFonts w:eastAsia="宋体"/>
          <w:szCs w:val="24"/>
          <w:lang w:eastAsia="zh-CN"/>
        </w:rPr>
        <w:t>10MHz PMCH for LTE based 5G broadcast utilizing satellite in TS 36.102</w:t>
      </w:r>
      <w:r>
        <w:rPr>
          <w:rFonts w:hint="eastAsia" w:eastAsia="宋体"/>
          <w:szCs w:val="24"/>
          <w:lang w:val="en-US" w:eastAsia="zh-CN"/>
        </w:rPr>
        <w:t>. The requirement is proposed as below:</w:t>
      </w:r>
    </w:p>
    <w:p w14:paraId="06DB0CD3">
      <w:pPr>
        <w:pStyle w:val="40"/>
      </w:pPr>
      <w:r>
        <w:t>Table 7.7</w:t>
      </w:r>
      <w:r>
        <w:rPr>
          <w:rFonts w:hint="eastAsia"/>
          <w:lang w:val="en-US" w:eastAsia="zh-CN"/>
        </w:rPr>
        <w:t>C</w:t>
      </w:r>
      <w:r>
        <w:t>-1: Spurious response parameters</w:t>
      </w:r>
    </w:p>
    <w:tbl>
      <w:tblPr>
        <w:tblStyle w:val="18"/>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816"/>
        <w:gridCol w:w="6409"/>
      </w:tblGrid>
      <w:tr w14:paraId="2A606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Merge w:val="restart"/>
          </w:tcPr>
          <w:p w14:paraId="1C879DDF">
            <w:pPr>
              <w:pStyle w:val="37"/>
              <w:rPr>
                <w:rFonts w:cs="Arial"/>
              </w:rPr>
            </w:pPr>
            <w:r>
              <w:rPr>
                <w:rFonts w:cs="Arial"/>
              </w:rPr>
              <w:t>Rx parameter</w:t>
            </w:r>
          </w:p>
        </w:tc>
        <w:tc>
          <w:tcPr>
            <w:tcW w:w="816" w:type="dxa"/>
            <w:vMerge w:val="restart"/>
          </w:tcPr>
          <w:p w14:paraId="19C035BA">
            <w:pPr>
              <w:pStyle w:val="37"/>
              <w:rPr>
                <w:rFonts w:cs="Arial"/>
              </w:rPr>
            </w:pPr>
            <w:r>
              <w:rPr>
                <w:rFonts w:cs="Arial"/>
              </w:rPr>
              <w:t xml:space="preserve">Units </w:t>
            </w:r>
          </w:p>
        </w:tc>
        <w:tc>
          <w:tcPr>
            <w:tcW w:w="6409" w:type="dxa"/>
          </w:tcPr>
          <w:p w14:paraId="7DD9DF82">
            <w:pPr>
              <w:pStyle w:val="37"/>
              <w:rPr>
                <w:rFonts w:cs="Arial"/>
              </w:rPr>
            </w:pPr>
            <w:r>
              <w:rPr>
                <w:rFonts w:cs="Arial"/>
              </w:rPr>
              <w:t>Channel bandwidth</w:t>
            </w:r>
          </w:p>
        </w:tc>
      </w:tr>
      <w:tr w14:paraId="4C506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Merge w:val="continue"/>
          </w:tcPr>
          <w:p w14:paraId="50722FA4">
            <w:pPr>
              <w:pStyle w:val="37"/>
              <w:rPr>
                <w:rFonts w:cs="Arial"/>
              </w:rPr>
            </w:pPr>
          </w:p>
        </w:tc>
        <w:tc>
          <w:tcPr>
            <w:tcW w:w="816" w:type="dxa"/>
            <w:vMerge w:val="continue"/>
          </w:tcPr>
          <w:p w14:paraId="479A8EBA">
            <w:pPr>
              <w:pStyle w:val="37"/>
              <w:rPr>
                <w:rFonts w:cs="Arial"/>
              </w:rPr>
            </w:pPr>
          </w:p>
        </w:tc>
        <w:tc>
          <w:tcPr>
            <w:tcW w:w="6409" w:type="dxa"/>
          </w:tcPr>
          <w:p w14:paraId="0F6261D8">
            <w:pPr>
              <w:pStyle w:val="37"/>
              <w:rPr>
                <w:rFonts w:cs="Arial"/>
              </w:rPr>
            </w:pPr>
            <w:r>
              <w:rPr>
                <w:rFonts w:hint="eastAsia" w:cs="Arial"/>
                <w:lang w:val="en-US" w:eastAsia="zh-CN"/>
              </w:rPr>
              <w:t>10</w:t>
            </w:r>
            <w:r>
              <w:rPr>
                <w:rFonts w:cs="Arial"/>
              </w:rPr>
              <w:t xml:space="preserve"> MHz </w:t>
            </w:r>
          </w:p>
        </w:tc>
      </w:tr>
      <w:tr w14:paraId="0252E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Merge w:val="restart"/>
            <w:vAlign w:val="center"/>
          </w:tcPr>
          <w:p w14:paraId="42A62C6B">
            <w:pPr>
              <w:pStyle w:val="39"/>
              <w:rPr>
                <w:rFonts w:cs="Arial"/>
                <w:bCs/>
              </w:rPr>
            </w:pPr>
            <w:r>
              <w:rPr>
                <w:rFonts w:cs="Arial"/>
              </w:rPr>
              <w:t>Power in Transmission Bandwidth Configuration</w:t>
            </w:r>
          </w:p>
        </w:tc>
        <w:tc>
          <w:tcPr>
            <w:tcW w:w="816" w:type="dxa"/>
            <w:vMerge w:val="restart"/>
            <w:vAlign w:val="center"/>
          </w:tcPr>
          <w:p w14:paraId="7C02E287">
            <w:pPr>
              <w:pStyle w:val="38"/>
              <w:rPr>
                <w:rFonts w:cs="Arial"/>
              </w:rPr>
            </w:pPr>
            <w:r>
              <w:rPr>
                <w:rFonts w:cs="Arial"/>
              </w:rPr>
              <w:t>dBm</w:t>
            </w:r>
          </w:p>
        </w:tc>
        <w:tc>
          <w:tcPr>
            <w:tcW w:w="6409" w:type="dxa"/>
            <w:vAlign w:val="bottom"/>
          </w:tcPr>
          <w:p w14:paraId="15B95732">
            <w:pPr>
              <w:pStyle w:val="38"/>
              <w:rPr>
                <w:rFonts w:cs="Arial"/>
              </w:rPr>
            </w:pPr>
            <w:r>
              <w:rPr>
                <w:rFonts w:cs="Arial"/>
              </w:rPr>
              <w:t>REFSENS + channel bandwidth specific value below</w:t>
            </w:r>
          </w:p>
        </w:tc>
      </w:tr>
      <w:tr w14:paraId="68D23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Merge w:val="continue"/>
            <w:vAlign w:val="center"/>
          </w:tcPr>
          <w:p w14:paraId="40729F5E">
            <w:pPr>
              <w:pStyle w:val="58"/>
              <w:spacing w:after="0"/>
              <w:jc w:val="left"/>
              <w:rPr>
                <w:rFonts w:eastAsia="MS Mincho" w:cs="Arial"/>
                <w:bCs/>
                <w:sz w:val="18"/>
                <w:szCs w:val="18"/>
                <w:lang w:eastAsia="ja-JP"/>
              </w:rPr>
            </w:pPr>
          </w:p>
        </w:tc>
        <w:tc>
          <w:tcPr>
            <w:tcW w:w="816" w:type="dxa"/>
            <w:vMerge w:val="continue"/>
            <w:vAlign w:val="center"/>
          </w:tcPr>
          <w:p w14:paraId="0858AD00">
            <w:pPr>
              <w:pStyle w:val="38"/>
              <w:rPr>
                <w:rFonts w:cs="Arial"/>
              </w:rPr>
            </w:pPr>
          </w:p>
        </w:tc>
        <w:tc>
          <w:tcPr>
            <w:tcW w:w="6409" w:type="dxa"/>
            <w:vAlign w:val="center"/>
          </w:tcPr>
          <w:p w14:paraId="4CF186EE">
            <w:pPr>
              <w:pStyle w:val="38"/>
              <w:rPr>
                <w:rFonts w:cs="Arial"/>
              </w:rPr>
            </w:pPr>
            <w:r>
              <w:rPr>
                <w:rFonts w:cs="Arial"/>
              </w:rPr>
              <w:t>6</w:t>
            </w:r>
          </w:p>
        </w:tc>
      </w:tr>
      <w:tr w14:paraId="03814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8784" w:type="dxa"/>
            <w:gridSpan w:val="3"/>
          </w:tcPr>
          <w:p w14:paraId="72CED2FE">
            <w:pPr>
              <w:pStyle w:val="56"/>
              <w:rPr>
                <w:rFonts w:eastAsia="MS Mincho" w:cs="Arial"/>
              </w:rPr>
            </w:pPr>
            <w:r>
              <w:rPr>
                <w:rFonts w:eastAsia="MS Mincho" w:cs="Arial"/>
              </w:rPr>
              <w:t>NOTE:</w:t>
            </w:r>
            <w:r>
              <w:rPr>
                <w:rFonts w:eastAsia="MS Mincho" w:cs="Arial"/>
              </w:rPr>
              <w:tab/>
            </w:r>
            <w:r>
              <w:rPr>
                <w:rFonts w:eastAsia="MS Mincho" w:cs="Arial"/>
              </w:rPr>
              <w:t>Reference measurement channel is specified in Annex A.</w:t>
            </w:r>
            <w:r>
              <w:rPr>
                <w:rFonts w:hint="eastAsia" w:eastAsia="宋体" w:cs="Arial"/>
                <w:lang w:val="en-US" w:eastAsia="zh-CN"/>
              </w:rPr>
              <w:t>1.</w:t>
            </w:r>
            <w:r>
              <w:rPr>
                <w:rFonts w:eastAsia="MS Mincho" w:cs="Arial"/>
              </w:rPr>
              <w:t>3.</w:t>
            </w:r>
          </w:p>
        </w:tc>
      </w:tr>
    </w:tbl>
    <w:p w14:paraId="10EF54BC"/>
    <w:p w14:paraId="48925D1B">
      <w:pPr>
        <w:pStyle w:val="40"/>
      </w:pPr>
      <w:r>
        <w:t>Table 7.7</w:t>
      </w:r>
      <w:r>
        <w:rPr>
          <w:rFonts w:hint="eastAsia"/>
          <w:lang w:val="en-US" w:eastAsia="zh-CN"/>
        </w:rPr>
        <w:t>C</w:t>
      </w:r>
      <w:r>
        <w:t>-2: Spurious response</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0"/>
        <w:gridCol w:w="2261"/>
        <w:gridCol w:w="2749"/>
      </w:tblGrid>
      <w:tr w14:paraId="63D18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260" w:type="dxa"/>
          </w:tcPr>
          <w:p w14:paraId="320AA01D">
            <w:pPr>
              <w:pStyle w:val="37"/>
              <w:rPr>
                <w:rFonts w:cs="Arial"/>
              </w:rPr>
            </w:pPr>
            <w:r>
              <w:rPr>
                <w:rFonts w:cs="Arial"/>
              </w:rPr>
              <w:br w:type="page"/>
            </w:r>
            <w:r>
              <w:rPr>
                <w:rFonts w:cs="Arial"/>
              </w:rPr>
              <w:t>Parameter</w:t>
            </w:r>
          </w:p>
        </w:tc>
        <w:tc>
          <w:tcPr>
            <w:tcW w:w="2261" w:type="dxa"/>
          </w:tcPr>
          <w:p w14:paraId="5CAD4110">
            <w:pPr>
              <w:pStyle w:val="37"/>
              <w:rPr>
                <w:rFonts w:cs="Arial"/>
              </w:rPr>
            </w:pPr>
            <w:r>
              <w:rPr>
                <w:rFonts w:cs="Arial"/>
              </w:rPr>
              <w:t>Unit</w:t>
            </w:r>
          </w:p>
        </w:tc>
        <w:tc>
          <w:tcPr>
            <w:tcW w:w="2749" w:type="dxa"/>
          </w:tcPr>
          <w:p w14:paraId="7DA5FC6B">
            <w:pPr>
              <w:pStyle w:val="37"/>
              <w:rPr>
                <w:rFonts w:cs="Arial"/>
              </w:rPr>
            </w:pPr>
            <w:r>
              <w:rPr>
                <w:rFonts w:cs="Arial"/>
              </w:rPr>
              <w:t>Level</w:t>
            </w:r>
          </w:p>
        </w:tc>
      </w:tr>
      <w:tr w14:paraId="2F3D0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260" w:type="dxa"/>
            <w:vAlign w:val="center"/>
          </w:tcPr>
          <w:p w14:paraId="792E78C8">
            <w:pPr>
              <w:pStyle w:val="39"/>
              <w:rPr>
                <w:rFonts w:cs="Arial"/>
                <w:vertAlign w:val="subscript"/>
              </w:rPr>
            </w:pPr>
            <w:r>
              <w:rPr>
                <w:rFonts w:cs="Arial"/>
              </w:rPr>
              <w:t>P</w:t>
            </w:r>
            <w:r>
              <w:rPr>
                <w:rFonts w:cs="Arial"/>
                <w:vertAlign w:val="subscript"/>
              </w:rPr>
              <w:t>Interferer</w:t>
            </w:r>
          </w:p>
          <w:p w14:paraId="06DC9894">
            <w:pPr>
              <w:pStyle w:val="39"/>
              <w:rPr>
                <w:rFonts w:cs="Arial"/>
              </w:rPr>
            </w:pPr>
            <w:r>
              <w:rPr>
                <w:rFonts w:cs="Arial"/>
              </w:rPr>
              <w:t>(CW)</w:t>
            </w:r>
          </w:p>
        </w:tc>
        <w:tc>
          <w:tcPr>
            <w:tcW w:w="2261" w:type="dxa"/>
            <w:vAlign w:val="center"/>
          </w:tcPr>
          <w:p w14:paraId="57D62C6C">
            <w:pPr>
              <w:pStyle w:val="38"/>
              <w:rPr>
                <w:rFonts w:cs="Arial"/>
              </w:rPr>
            </w:pPr>
            <w:r>
              <w:rPr>
                <w:rFonts w:cs="Arial"/>
              </w:rPr>
              <w:t>dBm</w:t>
            </w:r>
          </w:p>
        </w:tc>
        <w:tc>
          <w:tcPr>
            <w:tcW w:w="2749" w:type="dxa"/>
            <w:vAlign w:val="center"/>
          </w:tcPr>
          <w:p w14:paraId="4E731016">
            <w:pPr>
              <w:pStyle w:val="38"/>
              <w:rPr>
                <w:rFonts w:cs="Arial"/>
              </w:rPr>
            </w:pPr>
            <w:r>
              <w:rPr>
                <w:rFonts w:cs="Arial"/>
              </w:rPr>
              <w:t>-44</w:t>
            </w:r>
          </w:p>
        </w:tc>
      </w:tr>
      <w:tr w14:paraId="4E340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260" w:type="dxa"/>
            <w:vAlign w:val="center"/>
          </w:tcPr>
          <w:p w14:paraId="537E5DB8">
            <w:pPr>
              <w:pStyle w:val="39"/>
              <w:rPr>
                <w:rFonts w:cs="Arial"/>
              </w:rPr>
            </w:pPr>
            <w:r>
              <w:rPr>
                <w:rFonts w:cs="Arial"/>
              </w:rPr>
              <w:t>F</w:t>
            </w:r>
            <w:r>
              <w:rPr>
                <w:rFonts w:cs="Arial"/>
                <w:vertAlign w:val="subscript"/>
              </w:rPr>
              <w:t>Interferer</w:t>
            </w:r>
          </w:p>
        </w:tc>
        <w:tc>
          <w:tcPr>
            <w:tcW w:w="2261" w:type="dxa"/>
            <w:vAlign w:val="center"/>
          </w:tcPr>
          <w:p w14:paraId="31DE3AC7">
            <w:pPr>
              <w:pStyle w:val="38"/>
              <w:rPr>
                <w:rFonts w:cs="Arial"/>
              </w:rPr>
            </w:pPr>
            <w:r>
              <w:rPr>
                <w:rFonts w:cs="Arial"/>
              </w:rPr>
              <w:t>MHz</w:t>
            </w:r>
          </w:p>
        </w:tc>
        <w:tc>
          <w:tcPr>
            <w:tcW w:w="2749" w:type="dxa"/>
            <w:vAlign w:val="center"/>
          </w:tcPr>
          <w:p w14:paraId="3581C374">
            <w:pPr>
              <w:pStyle w:val="38"/>
              <w:rPr>
                <w:rFonts w:cs="Arial"/>
              </w:rPr>
            </w:pPr>
            <w:r>
              <w:rPr>
                <w:rFonts w:cs="Arial"/>
              </w:rPr>
              <w:t>Spurious response frequencies</w:t>
            </w:r>
          </w:p>
        </w:tc>
      </w:tr>
    </w:tbl>
    <w:p w14:paraId="6B9F418D">
      <w:pPr>
        <w:rPr>
          <w:rFonts w:hint="eastAsia"/>
          <w:lang w:val="en-US" w:eastAsia="zh-CN"/>
        </w:rPr>
      </w:pPr>
    </w:p>
    <w:p w14:paraId="1359DB19">
      <w:pPr>
        <w:rPr>
          <w:rFonts w:hint="default"/>
          <w:lang w:val="en-US" w:eastAsia="zh-CN"/>
        </w:rPr>
      </w:pPr>
      <w:r>
        <w:rPr>
          <w:rFonts w:hint="eastAsia"/>
          <w:b/>
          <w:bCs/>
          <w:i/>
          <w:iCs/>
          <w:lang w:val="en-US" w:eastAsia="zh-CN"/>
        </w:rPr>
        <w:t>Proposal 4</w:t>
      </w:r>
      <w:r>
        <w:rPr>
          <w:rFonts w:hint="eastAsia"/>
          <w:b w:val="0"/>
          <w:bCs w:val="0"/>
          <w:i/>
          <w:iCs/>
          <w:lang w:val="en-US" w:eastAsia="zh-CN"/>
        </w:rPr>
        <w:t>:</w:t>
      </w:r>
      <w:r>
        <w:rPr>
          <w:rFonts w:hint="eastAsia"/>
          <w:i/>
          <w:iCs/>
          <w:lang w:val="en-US" w:eastAsia="zh-CN"/>
        </w:rPr>
        <w:t xml:space="preserve"> To specify the spurious emission requirement for LTE based 5G broadcast utilizing satellite as table 7.7C-1 and table 7.7C-2.</w:t>
      </w:r>
    </w:p>
    <w:p w14:paraId="5721BEA2">
      <w:pPr>
        <w:pStyle w:val="2"/>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120" w:after="120" w:line="240" w:lineRule="auto"/>
        <w:jc w:val="both"/>
        <w:textAlignment w:val="baseline"/>
        <w:rPr>
          <w:rFonts w:eastAsia="宋体"/>
          <w:highlight w:val="none"/>
          <w:lang w:val="en-US" w:eastAsia="zh-CN"/>
        </w:rPr>
      </w:pPr>
      <w:r>
        <w:rPr>
          <w:rFonts w:eastAsia="宋体"/>
          <w:highlight w:val="none"/>
          <w:lang w:val="en-US" w:eastAsia="zh-CN"/>
        </w:rPr>
        <w:t>Conclusion</w:t>
      </w:r>
    </w:p>
    <w:p w14:paraId="555EBC60">
      <w:pPr>
        <w:pStyle w:val="9"/>
        <w:keepNext w:val="0"/>
        <w:keepLines w:val="0"/>
        <w:pageBreakBefore w:val="0"/>
        <w:widowControl/>
        <w:kinsoku/>
        <w:wordWrap/>
        <w:overflowPunct/>
        <w:topLinePunct w:val="0"/>
        <w:autoSpaceDE/>
        <w:autoSpaceDN/>
        <w:bidi w:val="0"/>
        <w:adjustRightInd/>
        <w:snapToGrid w:val="0"/>
        <w:spacing w:before="120" w:after="120" w:line="240" w:lineRule="auto"/>
        <w:textAlignment w:val="auto"/>
        <w:rPr>
          <w:rFonts w:hint="eastAsia"/>
          <w:sz w:val="20"/>
          <w:szCs w:val="20"/>
          <w:highlight w:val="none"/>
          <w:lang w:val="en-US" w:eastAsia="zh-CN"/>
        </w:rPr>
      </w:pPr>
      <w:r>
        <w:rPr>
          <w:rFonts w:hint="eastAsia"/>
          <w:sz w:val="20"/>
          <w:szCs w:val="20"/>
          <w:highlight w:val="none"/>
          <w:lang w:val="en-US" w:eastAsia="zh-CN"/>
        </w:rPr>
        <w:t>In this contribution, some views on UE RF requirements are provided and the proposals ares made as following:</w:t>
      </w:r>
    </w:p>
    <w:p w14:paraId="5B3BC472">
      <w:pPr>
        <w:bidi w:val="0"/>
        <w:rPr>
          <w:rFonts w:hint="eastAsia"/>
          <w:bCs/>
          <w:i/>
          <w:iCs/>
          <w:lang w:val="en-US" w:eastAsia="zh-CN"/>
        </w:rPr>
      </w:pPr>
      <w:r>
        <w:rPr>
          <w:rFonts w:hint="eastAsia"/>
          <w:b/>
          <w:bCs w:val="0"/>
          <w:i/>
          <w:iCs/>
          <w:lang w:val="en-US" w:eastAsia="zh-CN"/>
        </w:rPr>
        <w:t>Proposal 1</w:t>
      </w:r>
      <w:r>
        <w:rPr>
          <w:rFonts w:hint="eastAsia"/>
          <w:bCs/>
          <w:i/>
          <w:iCs/>
          <w:lang w:val="en-US" w:eastAsia="zh-CN"/>
        </w:rPr>
        <w:t>: To revise the OOBB requirement as follows:</w:t>
      </w:r>
    </w:p>
    <w:p w14:paraId="2802C30A">
      <w:pPr>
        <w:jc w:val="center"/>
        <w:rPr>
          <w:b/>
          <w:bCs/>
        </w:rPr>
      </w:pPr>
      <w:r>
        <w:rPr>
          <w:b/>
          <w:bCs/>
        </w:rPr>
        <w:t>Table 7.6</w:t>
      </w:r>
      <w:r>
        <w:rPr>
          <w:rFonts w:hint="eastAsia" w:eastAsiaTheme="minorEastAsia"/>
          <w:b/>
          <w:bCs/>
          <w:lang w:eastAsia="zh-CN"/>
        </w:rPr>
        <w:t>C</w:t>
      </w:r>
      <w:r>
        <w:rPr>
          <w:b/>
          <w:bCs/>
        </w:rPr>
        <w:t>.</w:t>
      </w:r>
      <w:r>
        <w:rPr>
          <w:rFonts w:hint="eastAsia" w:eastAsiaTheme="minorEastAsia"/>
          <w:b/>
          <w:bCs/>
          <w:lang w:eastAsia="zh-CN"/>
        </w:rPr>
        <w:t>3</w:t>
      </w:r>
      <w:r>
        <w:rPr>
          <w:b/>
          <w:bCs/>
        </w:rPr>
        <w:t>-2: Out of band blocking</w:t>
      </w:r>
    </w:p>
    <w:tbl>
      <w:tblPr>
        <w:tblStyle w:val="18"/>
        <w:tblW w:w="92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488"/>
        <w:gridCol w:w="799"/>
        <w:gridCol w:w="1939"/>
        <w:gridCol w:w="1939"/>
        <w:gridCol w:w="1939"/>
      </w:tblGrid>
      <w:tr w14:paraId="51CCE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vMerge w:val="restart"/>
            <w:tcBorders>
              <w:top w:val="single" w:color="auto" w:sz="4" w:space="0"/>
              <w:left w:val="single" w:color="auto" w:sz="4" w:space="0"/>
              <w:right w:val="single" w:color="auto" w:sz="4" w:space="0"/>
            </w:tcBorders>
          </w:tcPr>
          <w:p w14:paraId="2025E2FF">
            <w:pPr>
              <w:pStyle w:val="37"/>
            </w:pPr>
            <w:r>
              <w:rPr>
                <w:lang w:val="en-US"/>
              </w:rPr>
              <w:t>Operating Band</w:t>
            </w:r>
          </w:p>
        </w:tc>
        <w:tc>
          <w:tcPr>
            <w:tcW w:w="1488" w:type="dxa"/>
            <w:tcBorders>
              <w:top w:val="single" w:color="auto" w:sz="4" w:space="0"/>
              <w:left w:val="single" w:color="auto" w:sz="4" w:space="0"/>
              <w:bottom w:val="single" w:color="auto" w:sz="4" w:space="0"/>
              <w:right w:val="single" w:color="auto" w:sz="4" w:space="0"/>
            </w:tcBorders>
          </w:tcPr>
          <w:p w14:paraId="7FDAA6D0">
            <w:pPr>
              <w:pStyle w:val="37"/>
            </w:pPr>
            <w:r>
              <w:t>Parameter</w:t>
            </w:r>
          </w:p>
        </w:tc>
        <w:tc>
          <w:tcPr>
            <w:tcW w:w="799" w:type="dxa"/>
            <w:tcBorders>
              <w:top w:val="single" w:color="auto" w:sz="4" w:space="0"/>
              <w:left w:val="single" w:color="auto" w:sz="4" w:space="0"/>
              <w:bottom w:val="single" w:color="auto" w:sz="4" w:space="0"/>
              <w:right w:val="single" w:color="auto" w:sz="4" w:space="0"/>
            </w:tcBorders>
          </w:tcPr>
          <w:p w14:paraId="7A794EE0">
            <w:pPr>
              <w:pStyle w:val="37"/>
            </w:pPr>
            <w:r>
              <w:t>Unit</w:t>
            </w:r>
          </w:p>
        </w:tc>
        <w:tc>
          <w:tcPr>
            <w:tcW w:w="1939" w:type="dxa"/>
            <w:tcBorders>
              <w:top w:val="single" w:color="auto" w:sz="4" w:space="0"/>
              <w:left w:val="single" w:color="auto" w:sz="4" w:space="0"/>
              <w:bottom w:val="single" w:color="auto" w:sz="4" w:space="0"/>
              <w:right w:val="single" w:color="auto" w:sz="4" w:space="0"/>
            </w:tcBorders>
          </w:tcPr>
          <w:p w14:paraId="173CC255">
            <w:pPr>
              <w:pStyle w:val="37"/>
            </w:pPr>
            <w:r>
              <w:t>Range 1</w:t>
            </w:r>
          </w:p>
        </w:tc>
        <w:tc>
          <w:tcPr>
            <w:tcW w:w="1939" w:type="dxa"/>
            <w:tcBorders>
              <w:top w:val="single" w:color="auto" w:sz="4" w:space="0"/>
              <w:left w:val="single" w:color="auto" w:sz="4" w:space="0"/>
              <w:bottom w:val="single" w:color="auto" w:sz="4" w:space="0"/>
              <w:right w:val="single" w:color="auto" w:sz="4" w:space="0"/>
            </w:tcBorders>
          </w:tcPr>
          <w:p w14:paraId="041673B6">
            <w:pPr>
              <w:pStyle w:val="37"/>
            </w:pPr>
            <w:r>
              <w:t>Range 2</w:t>
            </w:r>
          </w:p>
        </w:tc>
        <w:tc>
          <w:tcPr>
            <w:tcW w:w="1939" w:type="dxa"/>
            <w:tcBorders>
              <w:top w:val="single" w:color="auto" w:sz="4" w:space="0"/>
              <w:left w:val="single" w:color="auto" w:sz="4" w:space="0"/>
              <w:bottom w:val="single" w:color="auto" w:sz="4" w:space="0"/>
              <w:right w:val="single" w:color="auto" w:sz="4" w:space="0"/>
            </w:tcBorders>
          </w:tcPr>
          <w:p w14:paraId="248E8833">
            <w:pPr>
              <w:pStyle w:val="37"/>
            </w:pPr>
            <w:r>
              <w:t>Range 3</w:t>
            </w:r>
          </w:p>
        </w:tc>
      </w:tr>
      <w:tr w14:paraId="02CC9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vMerge w:val="continue"/>
            <w:tcBorders>
              <w:left w:val="single" w:color="auto" w:sz="4" w:space="0"/>
              <w:right w:val="single" w:color="auto" w:sz="4" w:space="0"/>
            </w:tcBorders>
          </w:tcPr>
          <w:p w14:paraId="5DFF402B">
            <w:pPr>
              <w:pStyle w:val="37"/>
              <w:rPr>
                <w:lang w:val="en-US"/>
              </w:rPr>
            </w:pPr>
          </w:p>
        </w:tc>
        <w:tc>
          <w:tcPr>
            <w:tcW w:w="1488" w:type="dxa"/>
            <w:tcBorders>
              <w:top w:val="single" w:color="auto" w:sz="4" w:space="0"/>
              <w:left w:val="single" w:color="auto" w:sz="4" w:space="0"/>
              <w:bottom w:val="single" w:color="auto" w:sz="4" w:space="0"/>
              <w:right w:val="single" w:color="auto" w:sz="4" w:space="0"/>
            </w:tcBorders>
            <w:vAlign w:val="center"/>
          </w:tcPr>
          <w:p w14:paraId="7CEE8691">
            <w:pPr>
              <w:pStyle w:val="38"/>
              <w:rPr>
                <w:rFonts w:cs="Arial"/>
                <w:lang w:val="en-US"/>
              </w:rPr>
            </w:pPr>
            <w:r>
              <w:rPr>
                <w:rFonts w:cs="Arial"/>
                <w:lang w:val="en-US"/>
              </w:rPr>
              <w:t>P</w:t>
            </w:r>
            <w:r>
              <w:rPr>
                <w:rFonts w:cs="Arial"/>
                <w:vertAlign w:val="subscript"/>
                <w:lang w:val="en-US"/>
              </w:rPr>
              <w:t>w</w:t>
            </w:r>
          </w:p>
        </w:tc>
        <w:tc>
          <w:tcPr>
            <w:tcW w:w="799" w:type="dxa"/>
            <w:tcBorders>
              <w:top w:val="single" w:color="auto" w:sz="4" w:space="0"/>
              <w:left w:val="single" w:color="auto" w:sz="4" w:space="0"/>
              <w:bottom w:val="single" w:color="auto" w:sz="4" w:space="0"/>
              <w:right w:val="single" w:color="auto" w:sz="4" w:space="0"/>
            </w:tcBorders>
            <w:vAlign w:val="center"/>
          </w:tcPr>
          <w:p w14:paraId="72E42023">
            <w:pPr>
              <w:pStyle w:val="38"/>
              <w:rPr>
                <w:rFonts w:cs="Arial"/>
                <w:lang w:val="en-US"/>
              </w:rPr>
            </w:pPr>
            <w:r>
              <w:rPr>
                <w:rFonts w:cs="Arial"/>
                <w:lang w:val="en-US"/>
              </w:rPr>
              <w:t>dBm</w:t>
            </w:r>
          </w:p>
        </w:tc>
        <w:tc>
          <w:tcPr>
            <w:tcW w:w="5817" w:type="dxa"/>
            <w:gridSpan w:val="3"/>
            <w:tcBorders>
              <w:top w:val="single" w:color="auto" w:sz="4" w:space="0"/>
              <w:left w:val="single" w:color="auto" w:sz="4" w:space="0"/>
              <w:bottom w:val="single" w:color="auto" w:sz="4" w:space="0"/>
              <w:right w:val="single" w:color="auto" w:sz="4" w:space="0"/>
            </w:tcBorders>
            <w:vAlign w:val="center"/>
          </w:tcPr>
          <w:p w14:paraId="36BAC484">
            <w:pPr>
              <w:pStyle w:val="37"/>
            </w:pPr>
            <w:r>
              <w:rPr>
                <w:rFonts w:cs="Arial"/>
                <w:lang w:val="en-US"/>
              </w:rPr>
              <w:t>REFSENS + 6 dB</w:t>
            </w:r>
          </w:p>
        </w:tc>
      </w:tr>
      <w:tr w14:paraId="62E1E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vMerge w:val="continue"/>
            <w:tcBorders>
              <w:left w:val="single" w:color="auto" w:sz="4" w:space="0"/>
              <w:bottom w:val="single" w:color="auto" w:sz="4" w:space="0"/>
              <w:right w:val="single" w:color="auto" w:sz="4" w:space="0"/>
            </w:tcBorders>
          </w:tcPr>
          <w:p w14:paraId="60F16756"/>
        </w:tc>
        <w:tc>
          <w:tcPr>
            <w:tcW w:w="1488" w:type="dxa"/>
            <w:tcBorders>
              <w:top w:val="single" w:color="auto" w:sz="4" w:space="0"/>
              <w:left w:val="single" w:color="auto" w:sz="4" w:space="0"/>
              <w:bottom w:val="single" w:color="auto" w:sz="4" w:space="0"/>
              <w:right w:val="single" w:color="auto" w:sz="4" w:space="0"/>
            </w:tcBorders>
          </w:tcPr>
          <w:p w14:paraId="6D092DF4">
            <w:pPr>
              <w:pStyle w:val="38"/>
              <w:rPr>
                <w:lang w:val="sv-SE"/>
              </w:rPr>
            </w:pPr>
            <w:r>
              <w:rPr>
                <w:lang w:val="sv-SE"/>
              </w:rPr>
              <w:t>P</w:t>
            </w:r>
            <w:r>
              <w:rPr>
                <w:vertAlign w:val="subscript"/>
                <w:lang w:val="sv-SE"/>
              </w:rPr>
              <w:t>interferer</w:t>
            </w:r>
          </w:p>
        </w:tc>
        <w:tc>
          <w:tcPr>
            <w:tcW w:w="799" w:type="dxa"/>
            <w:tcBorders>
              <w:top w:val="single" w:color="auto" w:sz="4" w:space="0"/>
              <w:left w:val="single" w:color="auto" w:sz="4" w:space="0"/>
              <w:bottom w:val="single" w:color="auto" w:sz="4" w:space="0"/>
              <w:right w:val="single" w:color="auto" w:sz="4" w:space="0"/>
            </w:tcBorders>
          </w:tcPr>
          <w:p w14:paraId="4A0CEAB6">
            <w:pPr>
              <w:pStyle w:val="38"/>
              <w:rPr>
                <w:lang w:val="sv-SE"/>
              </w:rPr>
            </w:pPr>
            <w:r>
              <w:rPr>
                <w:lang w:val="sv-SE"/>
              </w:rPr>
              <w:t>dBm</w:t>
            </w:r>
          </w:p>
        </w:tc>
        <w:tc>
          <w:tcPr>
            <w:tcW w:w="1939" w:type="dxa"/>
            <w:tcBorders>
              <w:top w:val="single" w:color="auto" w:sz="4" w:space="0"/>
              <w:left w:val="single" w:color="auto" w:sz="4" w:space="0"/>
              <w:bottom w:val="single" w:color="auto" w:sz="4" w:space="0"/>
              <w:right w:val="single" w:color="auto" w:sz="4" w:space="0"/>
            </w:tcBorders>
          </w:tcPr>
          <w:p w14:paraId="143CC2B3">
            <w:pPr>
              <w:pStyle w:val="38"/>
            </w:pPr>
            <w:r>
              <w:t>-44</w:t>
            </w:r>
          </w:p>
        </w:tc>
        <w:tc>
          <w:tcPr>
            <w:tcW w:w="1939" w:type="dxa"/>
            <w:tcBorders>
              <w:top w:val="single" w:color="auto" w:sz="4" w:space="0"/>
              <w:left w:val="single" w:color="auto" w:sz="4" w:space="0"/>
              <w:bottom w:val="single" w:color="auto" w:sz="4" w:space="0"/>
              <w:right w:val="single" w:color="auto" w:sz="4" w:space="0"/>
            </w:tcBorders>
          </w:tcPr>
          <w:p w14:paraId="1969F215">
            <w:pPr>
              <w:pStyle w:val="38"/>
            </w:pPr>
            <w:r>
              <w:t>-30</w:t>
            </w:r>
          </w:p>
        </w:tc>
        <w:tc>
          <w:tcPr>
            <w:tcW w:w="1939" w:type="dxa"/>
            <w:tcBorders>
              <w:top w:val="single" w:color="auto" w:sz="4" w:space="0"/>
              <w:left w:val="single" w:color="auto" w:sz="4" w:space="0"/>
              <w:bottom w:val="single" w:color="auto" w:sz="4" w:space="0"/>
              <w:right w:val="single" w:color="auto" w:sz="4" w:space="0"/>
            </w:tcBorders>
          </w:tcPr>
          <w:p w14:paraId="23CCF079">
            <w:pPr>
              <w:pStyle w:val="38"/>
            </w:pPr>
            <w:r>
              <w:rPr>
                <w:lang w:val="sv-SE"/>
              </w:rPr>
              <w:t>-15</w:t>
            </w:r>
          </w:p>
        </w:tc>
      </w:tr>
      <w:tr w14:paraId="776B9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14:paraId="05C8B9B7">
            <w:pPr>
              <w:pStyle w:val="38"/>
              <w:rPr>
                <w:rFonts w:hint="default"/>
                <w:lang w:val="en-US"/>
              </w:rPr>
            </w:pPr>
            <w:r>
              <w:rPr>
                <w:rFonts w:hint="eastAsia" w:eastAsia="宋体"/>
                <w:lang w:val="en-US" w:eastAsia="zh-CN"/>
              </w:rPr>
              <w:t>2</w:t>
            </w:r>
            <w:r>
              <w:rPr>
                <w:rFonts w:hint="eastAsia"/>
                <w:lang w:val="en-US" w:eastAsia="zh-CN"/>
              </w:rPr>
              <w:t>46</w:t>
            </w:r>
          </w:p>
        </w:tc>
        <w:tc>
          <w:tcPr>
            <w:tcW w:w="1488" w:type="dxa"/>
            <w:tcBorders>
              <w:top w:val="single" w:color="auto" w:sz="4" w:space="0"/>
              <w:left w:val="single" w:color="auto" w:sz="4" w:space="0"/>
              <w:bottom w:val="single" w:color="auto" w:sz="4" w:space="0"/>
              <w:right w:val="single" w:color="auto" w:sz="4" w:space="0"/>
            </w:tcBorders>
          </w:tcPr>
          <w:p w14:paraId="31067AC5">
            <w:pPr>
              <w:pStyle w:val="38"/>
              <w:rPr>
                <w:lang w:val="sv-SE"/>
              </w:rPr>
            </w:pPr>
            <w:r>
              <w:rPr>
                <w:lang w:val="sv-SE"/>
              </w:rPr>
              <w:t>F</w:t>
            </w:r>
            <w:r>
              <w:rPr>
                <w:vertAlign w:val="subscript"/>
                <w:lang w:val="sv-SE"/>
              </w:rPr>
              <w:t>interferer</w:t>
            </w:r>
            <w:r>
              <w:rPr>
                <w:lang w:val="sv-SE"/>
              </w:rPr>
              <w:t xml:space="preserve"> (CW)</w:t>
            </w:r>
          </w:p>
        </w:tc>
        <w:tc>
          <w:tcPr>
            <w:tcW w:w="799" w:type="dxa"/>
            <w:tcBorders>
              <w:top w:val="single" w:color="auto" w:sz="4" w:space="0"/>
              <w:left w:val="single" w:color="auto" w:sz="4" w:space="0"/>
              <w:bottom w:val="single" w:color="auto" w:sz="4" w:space="0"/>
              <w:right w:val="single" w:color="auto" w:sz="4" w:space="0"/>
            </w:tcBorders>
          </w:tcPr>
          <w:p w14:paraId="7B586D5E">
            <w:pPr>
              <w:pStyle w:val="38"/>
              <w:rPr>
                <w:lang w:val="sv-SE"/>
              </w:rPr>
            </w:pPr>
            <w:r>
              <w:rPr>
                <w:lang w:val="sv-SE"/>
              </w:rPr>
              <w:t>MHz</w:t>
            </w:r>
          </w:p>
        </w:tc>
        <w:tc>
          <w:tcPr>
            <w:tcW w:w="1939" w:type="dxa"/>
            <w:tcBorders>
              <w:top w:val="single" w:color="auto" w:sz="4" w:space="0"/>
              <w:left w:val="single" w:color="auto" w:sz="4" w:space="0"/>
              <w:bottom w:val="single" w:color="auto" w:sz="4" w:space="0"/>
              <w:right w:val="single" w:color="auto" w:sz="4" w:space="0"/>
            </w:tcBorders>
          </w:tcPr>
          <w:p w14:paraId="7F5190B3">
            <w:pPr>
              <w:pStyle w:val="38"/>
              <w:rPr>
                <w:rFonts w:cs="Arial"/>
              </w:rPr>
            </w:pPr>
            <w:r>
              <w:rPr>
                <w:rFonts w:cs="Arial"/>
              </w:rPr>
              <w:t>-</w:t>
            </w:r>
            <w:r>
              <w:rPr>
                <w:rFonts w:hint="eastAsia" w:cs="Arial"/>
                <w:lang w:val="en-US" w:eastAsia="zh-CN"/>
              </w:rPr>
              <w:t>95</w:t>
            </w:r>
            <w:r>
              <w:rPr>
                <w:rFonts w:cs="Arial"/>
              </w:rPr>
              <w:t xml:space="preserve"> &lt; f – F</w:t>
            </w:r>
            <w:r>
              <w:rPr>
                <w:rFonts w:cs="Arial"/>
                <w:vertAlign w:val="subscript"/>
              </w:rPr>
              <w:t>DL_low</w:t>
            </w:r>
            <w:r>
              <w:rPr>
                <w:rFonts w:cs="Arial"/>
              </w:rPr>
              <w:t xml:space="preserve"> &lt; -15</w:t>
            </w:r>
          </w:p>
          <w:p w14:paraId="232A5F66">
            <w:pPr>
              <w:pStyle w:val="38"/>
              <w:rPr>
                <w:rFonts w:cs="Arial"/>
              </w:rPr>
            </w:pPr>
            <w:r>
              <w:rPr>
                <w:rFonts w:cs="Arial"/>
              </w:rPr>
              <w:t>or</w:t>
            </w:r>
          </w:p>
          <w:p w14:paraId="65B08BF3">
            <w:pPr>
              <w:pStyle w:val="38"/>
              <w:rPr>
                <w:rFonts w:hint="default" w:eastAsia="宋体" w:cs="Arial"/>
                <w:lang w:val="en-US" w:eastAsia="zh-CN"/>
              </w:rPr>
            </w:pPr>
            <w:r>
              <w:rPr>
                <w:rFonts w:cs="Arial"/>
              </w:rPr>
              <w:t>15 &lt; f – F</w:t>
            </w:r>
            <w:r>
              <w:rPr>
                <w:rFonts w:cs="Arial"/>
                <w:vertAlign w:val="subscript"/>
              </w:rPr>
              <w:t>DL_high</w:t>
            </w:r>
            <w:r>
              <w:rPr>
                <w:rFonts w:cs="Arial"/>
              </w:rPr>
              <w:t xml:space="preserve"> &lt; </w:t>
            </w:r>
            <w:r>
              <w:rPr>
                <w:rFonts w:hint="eastAsia" w:cs="Arial"/>
                <w:lang w:val="en-US" w:eastAsia="zh-CN"/>
              </w:rPr>
              <w:t>85</w:t>
            </w:r>
          </w:p>
        </w:tc>
        <w:tc>
          <w:tcPr>
            <w:tcW w:w="1939" w:type="dxa"/>
            <w:tcBorders>
              <w:top w:val="single" w:color="auto" w:sz="4" w:space="0"/>
              <w:left w:val="single" w:color="auto" w:sz="4" w:space="0"/>
              <w:bottom w:val="single" w:color="auto" w:sz="4" w:space="0"/>
              <w:right w:val="single" w:color="auto" w:sz="4" w:space="0"/>
            </w:tcBorders>
          </w:tcPr>
          <w:p w14:paraId="18A18566">
            <w:pPr>
              <w:pStyle w:val="38"/>
              <w:rPr>
                <w:rFonts w:hint="default" w:eastAsia="宋体" w:cs="Arial"/>
                <w:lang w:val="en-US" w:eastAsia="zh-CN"/>
              </w:rPr>
            </w:pPr>
            <w:r>
              <w:rPr>
                <w:rFonts w:cs="Arial"/>
              </w:rPr>
              <w:t>-</w:t>
            </w:r>
            <w:r>
              <w:rPr>
                <w:rFonts w:hint="eastAsia" w:cs="Arial"/>
                <w:lang w:val="en-US" w:eastAsia="zh-CN"/>
              </w:rPr>
              <w:t>9</w:t>
            </w:r>
            <w:r>
              <w:rPr>
                <w:rFonts w:cs="Arial"/>
              </w:rPr>
              <w:t>5 &lt; f – F</w:t>
            </w:r>
            <w:r>
              <w:rPr>
                <w:rFonts w:cs="Arial"/>
                <w:vertAlign w:val="subscript"/>
              </w:rPr>
              <w:t>DL_low</w:t>
            </w:r>
            <w:r>
              <w:rPr>
                <w:rFonts w:cs="Arial"/>
              </w:rPr>
              <w:t xml:space="preserve"> ≤ -</w:t>
            </w:r>
            <w:r>
              <w:rPr>
                <w:rFonts w:hint="eastAsia" w:cs="Arial"/>
                <w:lang w:val="en-US" w:eastAsia="zh-CN"/>
              </w:rPr>
              <w:t>120</w:t>
            </w:r>
          </w:p>
          <w:p w14:paraId="480AA6EF">
            <w:pPr>
              <w:pStyle w:val="38"/>
              <w:rPr>
                <w:rFonts w:cs="Arial"/>
              </w:rPr>
            </w:pPr>
            <w:r>
              <w:rPr>
                <w:rFonts w:cs="Arial"/>
              </w:rPr>
              <w:t>or</w:t>
            </w:r>
          </w:p>
          <w:p w14:paraId="60667574">
            <w:pPr>
              <w:pStyle w:val="38"/>
              <w:rPr>
                <w:rFonts w:hint="default" w:eastAsia="宋体" w:cs="Arial"/>
                <w:lang w:val="en-US" w:eastAsia="zh-CN"/>
              </w:rPr>
            </w:pPr>
            <w:r>
              <w:rPr>
                <w:rFonts w:hint="eastAsia" w:cs="Arial"/>
                <w:lang w:val="en-US" w:eastAsia="zh-CN"/>
              </w:rPr>
              <w:t>85</w:t>
            </w:r>
            <w:r>
              <w:rPr>
                <w:rFonts w:cs="Arial"/>
              </w:rPr>
              <w:t xml:space="preserve"> ≤ f – F</w:t>
            </w:r>
            <w:r>
              <w:rPr>
                <w:rFonts w:cs="Arial"/>
                <w:vertAlign w:val="subscript"/>
              </w:rPr>
              <w:t>DL_high</w:t>
            </w:r>
            <w:r>
              <w:rPr>
                <w:rFonts w:cs="Arial"/>
              </w:rPr>
              <w:t xml:space="preserve"> &lt; </w:t>
            </w:r>
            <w:r>
              <w:rPr>
                <w:rFonts w:hint="eastAsia" w:cs="Arial"/>
                <w:lang w:val="en-US" w:eastAsia="zh-CN"/>
              </w:rPr>
              <w:t>110</w:t>
            </w:r>
          </w:p>
        </w:tc>
        <w:tc>
          <w:tcPr>
            <w:tcW w:w="1939" w:type="dxa"/>
            <w:tcBorders>
              <w:top w:val="single" w:color="auto" w:sz="4" w:space="0"/>
              <w:left w:val="single" w:color="auto" w:sz="4" w:space="0"/>
              <w:bottom w:val="single" w:color="auto" w:sz="4" w:space="0"/>
              <w:right w:val="single" w:color="auto" w:sz="4" w:space="0"/>
            </w:tcBorders>
          </w:tcPr>
          <w:p w14:paraId="2E5D9D63">
            <w:pPr>
              <w:pStyle w:val="38"/>
              <w:rPr>
                <w:rFonts w:hint="default" w:eastAsia="宋体" w:cs="Arial"/>
                <w:lang w:val="en-US" w:eastAsia="zh-CN"/>
              </w:rPr>
            </w:pPr>
            <w:r>
              <w:rPr>
                <w:rFonts w:cs="Arial"/>
              </w:rPr>
              <w:t>1 ≤ f ≤ F</w:t>
            </w:r>
            <w:r>
              <w:rPr>
                <w:rFonts w:cs="Arial"/>
                <w:vertAlign w:val="subscript"/>
              </w:rPr>
              <w:t>DL_low</w:t>
            </w:r>
            <w:r>
              <w:rPr>
                <w:rFonts w:cs="Arial"/>
              </w:rPr>
              <w:t xml:space="preserve"> – </w:t>
            </w:r>
            <w:r>
              <w:rPr>
                <w:rFonts w:hint="eastAsia" w:cs="Arial"/>
                <w:lang w:val="en-US" w:eastAsia="zh-CN"/>
              </w:rPr>
              <w:t>120</w:t>
            </w:r>
          </w:p>
          <w:p w14:paraId="2E39416F">
            <w:pPr>
              <w:pStyle w:val="38"/>
              <w:rPr>
                <w:rFonts w:cs="Arial"/>
              </w:rPr>
            </w:pPr>
            <w:r>
              <w:rPr>
                <w:rFonts w:cs="Arial"/>
              </w:rPr>
              <w:t>or</w:t>
            </w:r>
          </w:p>
          <w:p w14:paraId="2C180C87">
            <w:pPr>
              <w:pStyle w:val="38"/>
              <w:rPr>
                <w:rFonts w:cs="Arial"/>
              </w:rPr>
            </w:pPr>
            <w:r>
              <w:rPr>
                <w:rFonts w:cs="Arial"/>
              </w:rPr>
              <w:t>F</w:t>
            </w:r>
            <w:r>
              <w:rPr>
                <w:rFonts w:cs="Arial"/>
                <w:vertAlign w:val="subscript"/>
              </w:rPr>
              <w:t>DL_high</w:t>
            </w:r>
            <w:r>
              <w:rPr>
                <w:rFonts w:cs="Arial"/>
              </w:rPr>
              <w:t xml:space="preserve"> + </w:t>
            </w:r>
            <w:r>
              <w:rPr>
                <w:rFonts w:hint="eastAsia" w:cs="Arial"/>
                <w:lang w:val="en-US" w:eastAsia="zh-CN"/>
              </w:rPr>
              <w:t>110</w:t>
            </w:r>
            <w:r>
              <w:rPr>
                <w:rFonts w:cs="Arial"/>
              </w:rPr>
              <w:t xml:space="preserve"> ≤ f</w:t>
            </w:r>
          </w:p>
          <w:p w14:paraId="3A41F68B">
            <w:pPr>
              <w:pStyle w:val="38"/>
              <w:rPr>
                <w:rFonts w:cs="Arial"/>
              </w:rPr>
            </w:pPr>
            <w:r>
              <w:rPr>
                <w:rFonts w:cs="Arial"/>
              </w:rPr>
              <w:t>≤ 12750</w:t>
            </w:r>
          </w:p>
        </w:tc>
      </w:tr>
    </w:tbl>
    <w:p w14:paraId="3EF4F854">
      <w:pPr>
        <w:bidi w:val="0"/>
        <w:rPr>
          <w:rFonts w:hint="default" w:eastAsiaTheme="minorEastAsia"/>
          <w:i/>
          <w:iCs/>
          <w:lang w:val="en-US" w:eastAsia="zh-CN"/>
        </w:rPr>
      </w:pPr>
      <w:r>
        <w:rPr>
          <w:rFonts w:hint="eastAsia" w:eastAsiaTheme="minorEastAsia"/>
          <w:b/>
          <w:bCs/>
          <w:i/>
          <w:iCs/>
          <w:lang w:val="en-US" w:eastAsia="zh-CN"/>
        </w:rPr>
        <w:t>Proposal 2</w:t>
      </w:r>
      <w:r>
        <w:rPr>
          <w:rFonts w:hint="eastAsia" w:eastAsiaTheme="minorEastAsia"/>
          <w:i/>
          <w:iCs/>
          <w:lang w:val="en-US" w:eastAsia="zh-CN"/>
        </w:rPr>
        <w:t>: F</w:t>
      </w:r>
      <w:r>
        <w:rPr>
          <w:rFonts w:hint="eastAsia" w:eastAsia="宋体"/>
          <w:bCs/>
          <w:i/>
          <w:iCs/>
          <w:lang w:val="en-US" w:eastAsia="zh-CN"/>
        </w:rPr>
        <w:t>our SCSs(</w:t>
      </w:r>
      <w:r>
        <w:rPr>
          <w:rFonts w:hint="eastAsia" w:eastAsiaTheme="minorEastAsia"/>
          <w:i/>
          <w:iCs/>
          <w:lang w:val="en-US" w:eastAsia="zh-CN"/>
        </w:rPr>
        <w:t>15k/2.5k/1.25k/0.37k</w:t>
      </w:r>
      <w:r>
        <w:rPr>
          <w:rFonts w:hint="eastAsia" w:eastAsia="宋体"/>
          <w:bCs/>
          <w:i/>
          <w:iCs/>
          <w:lang w:val="en-US" w:eastAsia="zh-CN"/>
        </w:rPr>
        <w:t xml:space="preserve">) are considered for RMC parameters for </w:t>
      </w:r>
      <w:r>
        <w:rPr>
          <w:bCs/>
          <w:i/>
          <w:iCs/>
          <w:lang w:val="en-US"/>
        </w:rPr>
        <w:t>LTE-based 5G Broadcast</w:t>
      </w:r>
      <w:r>
        <w:rPr>
          <w:rFonts w:hint="eastAsia" w:eastAsia="宋体"/>
          <w:bCs/>
          <w:i/>
          <w:iCs/>
          <w:lang w:val="en-US" w:eastAsia="zh-CN"/>
        </w:rPr>
        <w:t xml:space="preserve"> </w:t>
      </w:r>
      <w:r>
        <w:rPr>
          <w:rFonts w:hint="eastAsia"/>
          <w:bCs/>
          <w:i/>
          <w:iCs/>
          <w:lang w:val="en-US" w:eastAsia="zh-CN"/>
        </w:rPr>
        <w:t>for GSO.</w:t>
      </w:r>
    </w:p>
    <w:p w14:paraId="7B4524A8">
      <w:pPr>
        <w:widowControl w:val="0"/>
        <w:bidi w:val="0"/>
        <w:rPr>
          <w:rFonts w:hint="eastAsia" w:eastAsia="宋体"/>
          <w:i/>
          <w:iCs/>
          <w:lang w:val="en-US" w:eastAsia="zh-CN"/>
        </w:rPr>
      </w:pPr>
      <w:r>
        <w:rPr>
          <w:rFonts w:hint="eastAsia" w:eastAsiaTheme="minorEastAsia"/>
          <w:b/>
          <w:bCs/>
          <w:i/>
          <w:iCs/>
          <w:lang w:val="en-US" w:eastAsia="zh-CN"/>
        </w:rPr>
        <w:t>Proposal 3</w:t>
      </w:r>
      <w:r>
        <w:rPr>
          <w:rFonts w:hint="eastAsia" w:eastAsiaTheme="minorEastAsia"/>
          <w:i/>
          <w:iCs/>
          <w:lang w:val="en-US" w:eastAsia="zh-CN"/>
        </w:rPr>
        <w:t>: To define</w:t>
      </w:r>
      <w:r>
        <w:rPr>
          <w:rFonts w:hint="eastAsia" w:eastAsia="宋体"/>
          <w:i/>
          <w:iCs/>
          <w:lang w:val="en-US" w:eastAsia="zh-CN"/>
        </w:rPr>
        <w:t xml:space="preserve"> </w:t>
      </w:r>
      <w:r>
        <w:rPr>
          <w:i/>
          <w:iCs/>
        </w:rPr>
        <w:t>Fixed Reference Channel for PMCH Receiver Requirements (15 kHz SCS)</w:t>
      </w:r>
      <w:r>
        <w:rPr>
          <w:rFonts w:hint="eastAsia" w:eastAsia="宋体"/>
          <w:i/>
          <w:iCs/>
          <w:lang w:val="en-US" w:eastAsia="zh-CN"/>
        </w:rPr>
        <w:t xml:space="preserve"> as </w:t>
      </w:r>
      <w:r>
        <w:rPr>
          <w:i/>
          <w:iCs/>
        </w:rPr>
        <w:t>Table A.</w:t>
      </w:r>
      <w:r>
        <w:rPr>
          <w:rFonts w:hint="eastAsia" w:eastAsiaTheme="minorEastAsia"/>
          <w:i/>
          <w:iCs/>
          <w:lang w:eastAsia="zh-CN"/>
        </w:rPr>
        <w:t>1</w:t>
      </w:r>
      <w:r>
        <w:rPr>
          <w:i/>
          <w:iCs/>
        </w:rPr>
        <w:t>.</w:t>
      </w:r>
      <w:r>
        <w:rPr>
          <w:rFonts w:hint="eastAsia" w:eastAsiaTheme="minorEastAsia"/>
          <w:i/>
          <w:iCs/>
          <w:lang w:eastAsia="zh-CN"/>
        </w:rPr>
        <w:t>3</w:t>
      </w:r>
      <w:r>
        <w:rPr>
          <w:i/>
          <w:iCs/>
        </w:rPr>
        <w:t>.1-1</w:t>
      </w:r>
      <w:r>
        <w:rPr>
          <w:rFonts w:hint="eastAsia" w:eastAsia="宋体"/>
          <w:i/>
          <w:iCs/>
          <w:lang w:val="en-US" w:eastAsia="zh-CN"/>
        </w:rPr>
        <w:t>:</w:t>
      </w:r>
    </w:p>
    <w:p w14:paraId="3030425E">
      <w:pPr>
        <w:pStyle w:val="40"/>
        <w:keepNext w:val="0"/>
        <w:keepLines w:val="0"/>
        <w:widowControl w:val="0"/>
        <w:rPr>
          <w:rFonts w:eastAsiaTheme="minorEastAsia"/>
          <w:lang w:eastAsia="zh-CN"/>
        </w:rPr>
      </w:pPr>
      <w:r>
        <w:t>Table A.</w:t>
      </w:r>
      <w:r>
        <w:rPr>
          <w:rFonts w:hint="eastAsia" w:eastAsiaTheme="minorEastAsia"/>
          <w:lang w:eastAsia="zh-CN"/>
        </w:rPr>
        <w:t>1</w:t>
      </w:r>
      <w:r>
        <w:t>.</w:t>
      </w:r>
      <w:r>
        <w:rPr>
          <w:rFonts w:hint="eastAsia" w:eastAsiaTheme="minorEastAsia"/>
          <w:lang w:eastAsia="zh-CN"/>
        </w:rPr>
        <w:t>3</w:t>
      </w:r>
      <w:r>
        <w:t>.1-1 Fixed Reference Channel for PMCH Receiver Requirements (15 kHz SCS)</w:t>
      </w:r>
    </w:p>
    <w:tbl>
      <w:tblPr>
        <w:tblStyle w:val="18"/>
        <w:tblW w:w="7197" w:type="dxa"/>
        <w:jc w:val="center"/>
        <w:tblLayout w:type="autofit"/>
        <w:tblCellMar>
          <w:top w:w="0" w:type="dxa"/>
          <w:left w:w="0" w:type="dxa"/>
          <w:bottom w:w="0" w:type="dxa"/>
          <w:right w:w="0" w:type="dxa"/>
        </w:tblCellMar>
      </w:tblPr>
      <w:tblGrid>
        <w:gridCol w:w="2165"/>
        <w:gridCol w:w="586"/>
        <w:gridCol w:w="2445"/>
        <w:gridCol w:w="2001"/>
      </w:tblGrid>
      <w:tr w14:paraId="673E817B">
        <w:tblPrEx>
          <w:tblCellMar>
            <w:top w:w="0" w:type="dxa"/>
            <w:left w:w="0" w:type="dxa"/>
            <w:bottom w:w="0" w:type="dxa"/>
            <w:right w:w="0" w:type="dxa"/>
          </w:tblCellMar>
        </w:tblPrEx>
        <w:trPr>
          <w:trHeight w:val="163" w:hRule="atLeast"/>
          <w:jc w:val="center"/>
        </w:trPr>
        <w:tc>
          <w:tcPr>
            <w:tcW w:w="2177"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E4F717F">
            <w:pPr>
              <w:pStyle w:val="37"/>
              <w:keepNext w:val="0"/>
              <w:keepLines w:val="0"/>
              <w:widowControl w:val="0"/>
            </w:pPr>
            <w:r>
              <w:t>Parameter</w:t>
            </w:r>
          </w:p>
        </w:tc>
        <w:tc>
          <w:tcPr>
            <w:tcW w:w="5020" w:type="dxa"/>
            <w:gridSpan w:val="3"/>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4BDBAF2">
            <w:pPr>
              <w:pStyle w:val="37"/>
              <w:keepNext w:val="0"/>
              <w:keepLines w:val="0"/>
              <w:widowControl w:val="0"/>
            </w:pPr>
            <w:r>
              <w:t>PMCH (15 kHz SCS)</w:t>
            </w:r>
          </w:p>
        </w:tc>
      </w:tr>
      <w:tr w14:paraId="49F0466F">
        <w:tblPrEx>
          <w:tblCellMar>
            <w:top w:w="0" w:type="dxa"/>
            <w:left w:w="0" w:type="dxa"/>
            <w:bottom w:w="0" w:type="dxa"/>
            <w:right w:w="0" w:type="dxa"/>
          </w:tblCellMar>
        </w:tblPrEx>
        <w:trPr>
          <w:trHeight w:val="27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C9350BF">
            <w:pPr>
              <w:pStyle w:val="37"/>
              <w:keepNext w:val="0"/>
              <w:keepLines w:val="0"/>
              <w:widowControl w:val="0"/>
              <w:rPr>
                <w:rFonts w:eastAsiaTheme="minorHAnsi"/>
                <w:bCs/>
                <w:szCs w:val="18"/>
                <w:lang w:eastAsia="ko-KR"/>
              </w:rPr>
            </w:pPr>
          </w:p>
        </w:tc>
        <w:tc>
          <w:tcPr>
            <w:tcW w:w="5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E83A8C0">
            <w:pPr>
              <w:pStyle w:val="37"/>
              <w:keepNext w:val="0"/>
              <w:keepLines w:val="0"/>
              <w:widowControl w:val="0"/>
            </w:pPr>
            <w:r>
              <w:t>Unit</w:t>
            </w:r>
          </w:p>
        </w:tc>
        <w:tc>
          <w:tcPr>
            <w:tcW w:w="450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859C79F">
            <w:pPr>
              <w:pStyle w:val="37"/>
              <w:keepNext w:val="0"/>
              <w:keepLines w:val="0"/>
              <w:widowControl w:val="0"/>
            </w:pPr>
            <w:r>
              <w:t>Value</w:t>
            </w:r>
          </w:p>
        </w:tc>
      </w:tr>
      <w:tr w14:paraId="5A737EA5">
        <w:tblPrEx>
          <w:tblCellMar>
            <w:top w:w="0" w:type="dxa"/>
            <w:left w:w="0" w:type="dxa"/>
            <w:bottom w:w="0" w:type="dxa"/>
            <w:right w:w="0" w:type="dxa"/>
          </w:tblCellMar>
        </w:tblPrEx>
        <w:trPr>
          <w:trHeight w:val="268" w:hRule="atLeast"/>
          <w:jc w:val="center"/>
        </w:trPr>
        <w:tc>
          <w:tcPr>
            <w:tcW w:w="21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B298107">
            <w:pPr>
              <w:pStyle w:val="39"/>
              <w:keepNext w:val="0"/>
              <w:keepLines w:val="0"/>
              <w:widowControl w:val="0"/>
            </w:pPr>
            <w:r>
              <w:t>Reference channel</w:t>
            </w:r>
          </w:p>
        </w:tc>
        <w:tc>
          <w:tcPr>
            <w:tcW w:w="5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7D908A2">
            <w:pPr>
              <w:pStyle w:val="38"/>
              <w:keepNext w:val="0"/>
              <w:keepLines w:val="0"/>
              <w:widowControl w:val="0"/>
            </w:pPr>
            <w:r>
              <w:t> </w:t>
            </w:r>
          </w:p>
        </w:tc>
        <w:tc>
          <w:tcPr>
            <w:tcW w:w="24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61009D4">
            <w:pPr>
              <w:pStyle w:val="38"/>
              <w:keepNext w:val="0"/>
              <w:keepLines w:val="0"/>
              <w:widowControl w:val="0"/>
              <w:rPr>
                <w:rFonts w:eastAsiaTheme="minorEastAsia"/>
                <w:lang w:eastAsia="zh-CN"/>
              </w:rPr>
            </w:pPr>
            <w:r>
              <w:t>R.PMCH.</w:t>
            </w:r>
            <w:r>
              <w:rPr>
                <w:rFonts w:hint="eastAsia" w:eastAsiaTheme="minorEastAsia"/>
                <w:lang w:eastAsia="zh-CN"/>
              </w:rPr>
              <w:t>1</w:t>
            </w:r>
          </w:p>
        </w:tc>
        <w:tc>
          <w:tcPr>
            <w:tcW w:w="2028" w:type="dxa"/>
            <w:tcBorders>
              <w:top w:val="single" w:color="auto" w:sz="4" w:space="0"/>
              <w:left w:val="single" w:color="auto" w:sz="4" w:space="0"/>
              <w:bottom w:val="single" w:color="auto" w:sz="4" w:space="0"/>
              <w:right w:val="single" w:color="auto" w:sz="4" w:space="0"/>
            </w:tcBorders>
          </w:tcPr>
          <w:p w14:paraId="12E29E41">
            <w:pPr>
              <w:pStyle w:val="38"/>
              <w:keepNext w:val="0"/>
              <w:keepLines w:val="0"/>
              <w:widowControl w:val="0"/>
              <w:rPr>
                <w:rFonts w:eastAsiaTheme="minorEastAsia"/>
                <w:lang w:eastAsia="zh-CN"/>
              </w:rPr>
            </w:pPr>
            <w:r>
              <w:t>R.PMCH.</w:t>
            </w:r>
            <w:r>
              <w:rPr>
                <w:rFonts w:hint="eastAsia" w:eastAsiaTheme="minorEastAsia"/>
                <w:lang w:eastAsia="zh-CN"/>
              </w:rPr>
              <w:t>2</w:t>
            </w:r>
          </w:p>
        </w:tc>
      </w:tr>
      <w:tr w14:paraId="64C75458">
        <w:tblPrEx>
          <w:tblCellMar>
            <w:top w:w="0" w:type="dxa"/>
            <w:left w:w="0" w:type="dxa"/>
            <w:bottom w:w="0" w:type="dxa"/>
            <w:right w:w="0" w:type="dxa"/>
          </w:tblCellMar>
        </w:tblPrEx>
        <w:trPr>
          <w:trHeight w:val="194" w:hRule="atLeast"/>
          <w:jc w:val="center"/>
        </w:trPr>
        <w:tc>
          <w:tcPr>
            <w:tcW w:w="21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B1FBDF8">
            <w:pPr>
              <w:pStyle w:val="39"/>
              <w:keepNext w:val="0"/>
              <w:keepLines w:val="0"/>
              <w:widowControl w:val="0"/>
            </w:pPr>
            <w:r>
              <w:t xml:space="preserve">PMCH bandwidth </w:t>
            </w:r>
          </w:p>
        </w:tc>
        <w:tc>
          <w:tcPr>
            <w:tcW w:w="5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DCE6D22">
            <w:pPr>
              <w:pStyle w:val="38"/>
              <w:keepNext w:val="0"/>
              <w:keepLines w:val="0"/>
              <w:widowControl w:val="0"/>
            </w:pPr>
            <w:r>
              <w:t>MHz</w:t>
            </w:r>
          </w:p>
        </w:tc>
        <w:tc>
          <w:tcPr>
            <w:tcW w:w="24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F2A4117">
            <w:pPr>
              <w:pStyle w:val="38"/>
              <w:keepNext w:val="0"/>
              <w:keepLines w:val="0"/>
              <w:widowControl w:val="0"/>
              <w:rPr>
                <w:rFonts w:eastAsiaTheme="minorEastAsia"/>
                <w:lang w:eastAsia="zh-CN"/>
              </w:rPr>
            </w:pPr>
            <w:r>
              <w:rPr>
                <w:rFonts w:hint="eastAsia" w:eastAsiaTheme="minorEastAsia"/>
                <w:lang w:eastAsia="zh-CN"/>
              </w:rPr>
              <w:t>10</w:t>
            </w:r>
          </w:p>
        </w:tc>
        <w:tc>
          <w:tcPr>
            <w:tcW w:w="2028" w:type="dxa"/>
            <w:tcBorders>
              <w:top w:val="single" w:color="auto" w:sz="4" w:space="0"/>
              <w:left w:val="single" w:color="auto" w:sz="4" w:space="0"/>
              <w:bottom w:val="single" w:color="auto" w:sz="4" w:space="0"/>
              <w:right w:val="single" w:color="auto" w:sz="4" w:space="0"/>
            </w:tcBorders>
          </w:tcPr>
          <w:p w14:paraId="2EAD2E76">
            <w:pPr>
              <w:pStyle w:val="38"/>
              <w:keepNext w:val="0"/>
              <w:keepLines w:val="0"/>
              <w:widowControl w:val="0"/>
              <w:rPr>
                <w:rFonts w:eastAsiaTheme="minorEastAsia"/>
                <w:lang w:eastAsia="zh-CN"/>
              </w:rPr>
            </w:pPr>
            <w:r>
              <w:rPr>
                <w:rFonts w:hint="eastAsia" w:eastAsiaTheme="minorEastAsia"/>
                <w:lang w:eastAsia="zh-CN"/>
              </w:rPr>
              <w:t>10</w:t>
            </w:r>
          </w:p>
        </w:tc>
      </w:tr>
      <w:tr w14:paraId="75492C38">
        <w:tblPrEx>
          <w:tblCellMar>
            <w:top w:w="0" w:type="dxa"/>
            <w:left w:w="0" w:type="dxa"/>
            <w:bottom w:w="0" w:type="dxa"/>
            <w:right w:w="0" w:type="dxa"/>
          </w:tblCellMar>
        </w:tblPrEx>
        <w:trPr>
          <w:trHeight w:val="201" w:hRule="atLeast"/>
          <w:jc w:val="center"/>
        </w:trPr>
        <w:tc>
          <w:tcPr>
            <w:tcW w:w="21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5EFB1D1">
            <w:pPr>
              <w:pStyle w:val="39"/>
              <w:keepNext w:val="0"/>
              <w:keepLines w:val="0"/>
              <w:widowControl w:val="0"/>
            </w:pPr>
            <w:r>
              <w:t>Allocated resource blocks</w:t>
            </w:r>
          </w:p>
        </w:tc>
        <w:tc>
          <w:tcPr>
            <w:tcW w:w="5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A131A5A">
            <w:pPr>
              <w:pStyle w:val="38"/>
              <w:keepNext w:val="0"/>
              <w:keepLines w:val="0"/>
              <w:widowControl w:val="0"/>
            </w:pPr>
            <w:r>
              <w:t> </w:t>
            </w:r>
          </w:p>
        </w:tc>
        <w:tc>
          <w:tcPr>
            <w:tcW w:w="24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71F9606">
            <w:pPr>
              <w:pStyle w:val="38"/>
              <w:keepNext w:val="0"/>
              <w:keepLines w:val="0"/>
              <w:widowControl w:val="0"/>
              <w:rPr>
                <w:rFonts w:eastAsiaTheme="minorEastAsia"/>
                <w:lang w:eastAsia="zh-CN"/>
              </w:rPr>
            </w:pPr>
            <w:r>
              <w:rPr>
                <w:rFonts w:hint="eastAsia" w:eastAsiaTheme="minorEastAsia"/>
                <w:lang w:eastAsia="zh-CN"/>
              </w:rPr>
              <w:t>50</w:t>
            </w:r>
          </w:p>
        </w:tc>
        <w:tc>
          <w:tcPr>
            <w:tcW w:w="2028" w:type="dxa"/>
            <w:tcBorders>
              <w:top w:val="single" w:color="auto" w:sz="4" w:space="0"/>
              <w:left w:val="single" w:color="auto" w:sz="4" w:space="0"/>
              <w:bottom w:val="single" w:color="auto" w:sz="4" w:space="0"/>
              <w:right w:val="single" w:color="auto" w:sz="4" w:space="0"/>
            </w:tcBorders>
          </w:tcPr>
          <w:p w14:paraId="0F8ADBA5">
            <w:pPr>
              <w:pStyle w:val="38"/>
              <w:keepNext w:val="0"/>
              <w:keepLines w:val="0"/>
              <w:widowControl w:val="0"/>
            </w:pPr>
            <w:r>
              <w:rPr>
                <w:rFonts w:hint="eastAsia" w:eastAsiaTheme="minorEastAsia"/>
                <w:lang w:eastAsia="zh-CN"/>
              </w:rPr>
              <w:t>5</w:t>
            </w:r>
            <w:r>
              <w:t>0</w:t>
            </w:r>
          </w:p>
        </w:tc>
      </w:tr>
      <w:tr w14:paraId="007EFA7E">
        <w:tblPrEx>
          <w:tblCellMar>
            <w:top w:w="0" w:type="dxa"/>
            <w:left w:w="0" w:type="dxa"/>
            <w:bottom w:w="0" w:type="dxa"/>
            <w:right w:w="0" w:type="dxa"/>
          </w:tblCellMar>
        </w:tblPrEx>
        <w:trPr>
          <w:trHeight w:val="229" w:hRule="atLeast"/>
          <w:jc w:val="center"/>
        </w:trPr>
        <w:tc>
          <w:tcPr>
            <w:tcW w:w="21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2FDD331">
            <w:pPr>
              <w:pStyle w:val="39"/>
              <w:keepNext w:val="0"/>
              <w:keepLines w:val="0"/>
              <w:widowControl w:val="0"/>
            </w:pPr>
            <w:r>
              <w:t>Allocated subframes per Radio Frame(Note1)</w:t>
            </w:r>
          </w:p>
        </w:tc>
        <w:tc>
          <w:tcPr>
            <w:tcW w:w="5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E6D1FE4">
            <w:pPr>
              <w:pStyle w:val="38"/>
              <w:keepNext w:val="0"/>
              <w:keepLines w:val="0"/>
              <w:widowControl w:val="0"/>
            </w:pPr>
            <w:r>
              <w:t> </w:t>
            </w:r>
          </w:p>
        </w:tc>
        <w:tc>
          <w:tcPr>
            <w:tcW w:w="24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99DE383">
            <w:pPr>
              <w:pStyle w:val="38"/>
              <w:keepNext w:val="0"/>
              <w:keepLines w:val="0"/>
              <w:widowControl w:val="0"/>
            </w:pPr>
            <w:r>
              <w:t>10</w:t>
            </w:r>
          </w:p>
        </w:tc>
        <w:tc>
          <w:tcPr>
            <w:tcW w:w="2028" w:type="dxa"/>
            <w:tcBorders>
              <w:top w:val="single" w:color="auto" w:sz="4" w:space="0"/>
              <w:left w:val="single" w:color="auto" w:sz="4" w:space="0"/>
              <w:bottom w:val="single" w:color="auto" w:sz="4" w:space="0"/>
              <w:right w:val="single" w:color="auto" w:sz="4" w:space="0"/>
            </w:tcBorders>
          </w:tcPr>
          <w:p w14:paraId="5CAF151F">
            <w:pPr>
              <w:pStyle w:val="38"/>
              <w:keepNext w:val="0"/>
              <w:keepLines w:val="0"/>
              <w:widowControl w:val="0"/>
            </w:pPr>
            <w:r>
              <w:t>10</w:t>
            </w:r>
          </w:p>
        </w:tc>
      </w:tr>
      <w:tr w14:paraId="51A5B01B">
        <w:tblPrEx>
          <w:tblCellMar>
            <w:top w:w="0" w:type="dxa"/>
            <w:left w:w="0" w:type="dxa"/>
            <w:bottom w:w="0" w:type="dxa"/>
            <w:right w:w="0" w:type="dxa"/>
          </w:tblCellMar>
        </w:tblPrEx>
        <w:trPr>
          <w:trHeight w:val="271" w:hRule="atLeast"/>
          <w:jc w:val="center"/>
        </w:trPr>
        <w:tc>
          <w:tcPr>
            <w:tcW w:w="21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AF779C">
            <w:pPr>
              <w:pStyle w:val="39"/>
              <w:keepNext w:val="0"/>
              <w:keepLines w:val="0"/>
              <w:widowControl w:val="0"/>
            </w:pPr>
            <w:r>
              <w:t>Modulation</w:t>
            </w:r>
          </w:p>
        </w:tc>
        <w:tc>
          <w:tcPr>
            <w:tcW w:w="5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F6300C4">
            <w:pPr>
              <w:pStyle w:val="38"/>
              <w:keepNext w:val="0"/>
              <w:keepLines w:val="0"/>
              <w:widowControl w:val="0"/>
            </w:pPr>
            <w:r>
              <w:t> </w:t>
            </w:r>
          </w:p>
        </w:tc>
        <w:tc>
          <w:tcPr>
            <w:tcW w:w="24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3117D1F">
            <w:pPr>
              <w:pStyle w:val="38"/>
              <w:keepNext w:val="0"/>
              <w:keepLines w:val="0"/>
              <w:widowControl w:val="0"/>
            </w:pPr>
            <w:r>
              <w:t>QPSK</w:t>
            </w:r>
          </w:p>
        </w:tc>
        <w:tc>
          <w:tcPr>
            <w:tcW w:w="2028" w:type="dxa"/>
            <w:tcBorders>
              <w:top w:val="single" w:color="auto" w:sz="4" w:space="0"/>
              <w:left w:val="single" w:color="auto" w:sz="4" w:space="0"/>
              <w:bottom w:val="single" w:color="auto" w:sz="4" w:space="0"/>
              <w:right w:val="single" w:color="auto" w:sz="4" w:space="0"/>
            </w:tcBorders>
          </w:tcPr>
          <w:p w14:paraId="06FE0B1D">
            <w:pPr>
              <w:pStyle w:val="38"/>
              <w:keepNext w:val="0"/>
              <w:keepLines w:val="0"/>
              <w:widowControl w:val="0"/>
            </w:pPr>
            <w:r>
              <w:rPr>
                <w:rFonts w:hint="eastAsia"/>
                <w:lang w:eastAsia="zh-CN"/>
              </w:rPr>
              <w:t>16</w:t>
            </w:r>
            <w:r>
              <w:rPr>
                <w:lang w:eastAsia="zh-CN"/>
              </w:rPr>
              <w:t>QAM</w:t>
            </w:r>
          </w:p>
        </w:tc>
      </w:tr>
      <w:tr w14:paraId="3D2BAD8A">
        <w:tblPrEx>
          <w:tblCellMar>
            <w:top w:w="0" w:type="dxa"/>
            <w:left w:w="0" w:type="dxa"/>
            <w:bottom w:w="0" w:type="dxa"/>
            <w:right w:w="0" w:type="dxa"/>
          </w:tblCellMar>
        </w:tblPrEx>
        <w:trPr>
          <w:trHeight w:val="249" w:hRule="atLeast"/>
          <w:jc w:val="center"/>
        </w:trPr>
        <w:tc>
          <w:tcPr>
            <w:tcW w:w="21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F9A31B">
            <w:pPr>
              <w:pStyle w:val="39"/>
              <w:keepNext w:val="0"/>
              <w:keepLines w:val="0"/>
              <w:widowControl w:val="0"/>
            </w:pPr>
            <w:r>
              <w:t>Target Coding Rate</w:t>
            </w:r>
          </w:p>
        </w:tc>
        <w:tc>
          <w:tcPr>
            <w:tcW w:w="5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B2F7211">
            <w:pPr>
              <w:pStyle w:val="38"/>
              <w:keepNext w:val="0"/>
              <w:keepLines w:val="0"/>
              <w:widowControl w:val="0"/>
            </w:pPr>
            <w:r>
              <w:t> </w:t>
            </w:r>
          </w:p>
        </w:tc>
        <w:tc>
          <w:tcPr>
            <w:tcW w:w="24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300C53">
            <w:pPr>
              <w:pStyle w:val="38"/>
              <w:keepNext w:val="0"/>
              <w:keepLines w:val="0"/>
              <w:widowControl w:val="0"/>
            </w:pPr>
            <w:r>
              <w:t>1/3</w:t>
            </w:r>
          </w:p>
        </w:tc>
        <w:tc>
          <w:tcPr>
            <w:tcW w:w="2028" w:type="dxa"/>
            <w:tcBorders>
              <w:top w:val="single" w:color="auto" w:sz="4" w:space="0"/>
              <w:left w:val="single" w:color="auto" w:sz="4" w:space="0"/>
              <w:bottom w:val="single" w:color="auto" w:sz="4" w:space="0"/>
              <w:right w:val="single" w:color="auto" w:sz="4" w:space="0"/>
            </w:tcBorders>
          </w:tcPr>
          <w:p w14:paraId="5CA21F9B">
            <w:pPr>
              <w:pStyle w:val="38"/>
              <w:keepNext w:val="0"/>
              <w:keepLines w:val="0"/>
              <w:widowControl w:val="0"/>
            </w:pPr>
            <w:r>
              <w:rPr>
                <w:lang w:eastAsia="zh-CN"/>
              </w:rPr>
              <w:t>3/4</w:t>
            </w:r>
          </w:p>
        </w:tc>
      </w:tr>
      <w:tr w14:paraId="54F617BE">
        <w:tblPrEx>
          <w:tblCellMar>
            <w:top w:w="0" w:type="dxa"/>
            <w:left w:w="0" w:type="dxa"/>
            <w:bottom w:w="0" w:type="dxa"/>
            <w:right w:w="0" w:type="dxa"/>
          </w:tblCellMar>
        </w:tblPrEx>
        <w:trPr>
          <w:trHeight w:val="249" w:hRule="atLeast"/>
          <w:jc w:val="center"/>
        </w:trPr>
        <w:tc>
          <w:tcPr>
            <w:tcW w:w="21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FFDF5D8">
            <w:pPr>
              <w:pStyle w:val="39"/>
              <w:keepNext w:val="0"/>
              <w:keepLines w:val="0"/>
              <w:widowControl w:val="0"/>
            </w:pPr>
            <w:r>
              <w:t>Information Bit Payload (Note 2)</w:t>
            </w:r>
          </w:p>
        </w:tc>
        <w:tc>
          <w:tcPr>
            <w:tcW w:w="5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E93BF5E">
            <w:pPr>
              <w:pStyle w:val="38"/>
              <w:keepNext w:val="0"/>
              <w:keepLines w:val="0"/>
              <w:widowControl w:val="0"/>
            </w:pPr>
            <w:r>
              <w:t> </w:t>
            </w:r>
          </w:p>
        </w:tc>
        <w:tc>
          <w:tcPr>
            <w:tcW w:w="24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5C78F81">
            <w:pPr>
              <w:pStyle w:val="38"/>
              <w:keepNext w:val="0"/>
              <w:keepLines w:val="0"/>
              <w:widowControl w:val="0"/>
            </w:pPr>
            <w:r>
              <w:t> </w:t>
            </w:r>
          </w:p>
        </w:tc>
        <w:tc>
          <w:tcPr>
            <w:tcW w:w="2028" w:type="dxa"/>
            <w:tcBorders>
              <w:top w:val="single" w:color="auto" w:sz="4" w:space="0"/>
              <w:left w:val="single" w:color="auto" w:sz="4" w:space="0"/>
              <w:bottom w:val="single" w:color="auto" w:sz="4" w:space="0"/>
              <w:right w:val="single" w:color="auto" w:sz="4" w:space="0"/>
            </w:tcBorders>
          </w:tcPr>
          <w:p w14:paraId="05707B05">
            <w:pPr>
              <w:pStyle w:val="38"/>
              <w:keepNext w:val="0"/>
              <w:keepLines w:val="0"/>
              <w:widowControl w:val="0"/>
            </w:pPr>
          </w:p>
        </w:tc>
      </w:tr>
      <w:tr w14:paraId="109E5082">
        <w:tblPrEx>
          <w:tblCellMar>
            <w:top w:w="0" w:type="dxa"/>
            <w:left w:w="0" w:type="dxa"/>
            <w:bottom w:w="0" w:type="dxa"/>
            <w:right w:w="0" w:type="dxa"/>
          </w:tblCellMar>
        </w:tblPrEx>
        <w:trPr>
          <w:trHeight w:val="243" w:hRule="atLeast"/>
          <w:jc w:val="center"/>
        </w:trPr>
        <w:tc>
          <w:tcPr>
            <w:tcW w:w="21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03DEA84">
            <w:pPr>
              <w:pStyle w:val="39"/>
              <w:keepNext w:val="0"/>
              <w:keepLines w:val="0"/>
              <w:widowControl w:val="0"/>
            </w:pPr>
            <w:r>
              <w:t>For Sub-Frames 0,1,2,3,4,5,6,7,8,9</w:t>
            </w:r>
          </w:p>
        </w:tc>
        <w:tc>
          <w:tcPr>
            <w:tcW w:w="5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22C088B">
            <w:pPr>
              <w:pStyle w:val="38"/>
              <w:keepNext w:val="0"/>
              <w:keepLines w:val="0"/>
              <w:widowControl w:val="0"/>
            </w:pPr>
            <w:r>
              <w:t>Bits</w:t>
            </w:r>
          </w:p>
        </w:tc>
        <w:tc>
          <w:tcPr>
            <w:tcW w:w="24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7DFFE3E">
            <w:pPr>
              <w:pStyle w:val="38"/>
              <w:keepNext w:val="0"/>
              <w:keepLines w:val="0"/>
              <w:widowControl w:val="0"/>
              <w:rPr>
                <w:rFonts w:hint="default" w:eastAsiaTheme="minorEastAsia"/>
                <w:highlight w:val="yellow"/>
                <w:lang w:val="en-US" w:eastAsia="zh-CN"/>
              </w:rPr>
            </w:pPr>
            <w:r>
              <w:rPr>
                <w:rFonts w:hint="eastAsia" w:eastAsiaTheme="minorEastAsia"/>
                <w:highlight w:val="yellow"/>
                <w:lang w:val="en-US" w:eastAsia="zh-CN"/>
              </w:rPr>
              <w:t>3624</w:t>
            </w:r>
          </w:p>
        </w:tc>
        <w:tc>
          <w:tcPr>
            <w:tcW w:w="2028" w:type="dxa"/>
            <w:tcBorders>
              <w:top w:val="single" w:color="auto" w:sz="4" w:space="0"/>
              <w:left w:val="single" w:color="auto" w:sz="4" w:space="0"/>
              <w:bottom w:val="single" w:color="auto" w:sz="4" w:space="0"/>
              <w:right w:val="single" w:color="auto" w:sz="4" w:space="0"/>
            </w:tcBorders>
          </w:tcPr>
          <w:p w14:paraId="68338864">
            <w:pPr>
              <w:pStyle w:val="38"/>
              <w:keepNext w:val="0"/>
              <w:keepLines w:val="0"/>
              <w:widowControl w:val="0"/>
              <w:rPr>
                <w:rFonts w:hint="default" w:eastAsiaTheme="minorEastAsia"/>
                <w:highlight w:val="yellow"/>
                <w:lang w:val="en-US"/>
              </w:rPr>
            </w:pPr>
            <w:r>
              <w:rPr>
                <w:rFonts w:hint="eastAsia" w:eastAsiaTheme="minorEastAsia"/>
                <w:highlight w:val="yellow"/>
                <w:lang w:val="en-US" w:eastAsia="zh-CN"/>
              </w:rPr>
              <w:t>15264</w:t>
            </w:r>
          </w:p>
        </w:tc>
      </w:tr>
      <w:tr w14:paraId="55161CB4">
        <w:tblPrEx>
          <w:tblCellMar>
            <w:top w:w="0" w:type="dxa"/>
            <w:left w:w="0" w:type="dxa"/>
            <w:bottom w:w="0" w:type="dxa"/>
            <w:right w:w="0" w:type="dxa"/>
          </w:tblCellMar>
        </w:tblPrEx>
        <w:trPr>
          <w:trHeight w:val="252" w:hRule="atLeast"/>
          <w:jc w:val="center"/>
        </w:trPr>
        <w:tc>
          <w:tcPr>
            <w:tcW w:w="21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7D7A356">
            <w:pPr>
              <w:pStyle w:val="39"/>
              <w:keepNext w:val="0"/>
              <w:keepLines w:val="0"/>
              <w:widowControl w:val="0"/>
            </w:pPr>
            <w:r>
              <w:t>Number of Code Blocks per Sub-Frame (Note 3)</w:t>
            </w:r>
          </w:p>
        </w:tc>
        <w:tc>
          <w:tcPr>
            <w:tcW w:w="5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C10E742">
            <w:pPr>
              <w:pStyle w:val="38"/>
              <w:keepNext w:val="0"/>
              <w:keepLines w:val="0"/>
              <w:widowControl w:val="0"/>
            </w:pPr>
            <w:r>
              <w:t> </w:t>
            </w:r>
          </w:p>
        </w:tc>
        <w:tc>
          <w:tcPr>
            <w:tcW w:w="24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0929FCB">
            <w:pPr>
              <w:pStyle w:val="38"/>
              <w:keepNext w:val="0"/>
              <w:keepLines w:val="0"/>
              <w:widowControl w:val="0"/>
            </w:pPr>
            <w:r>
              <w:t>1</w:t>
            </w:r>
          </w:p>
        </w:tc>
        <w:tc>
          <w:tcPr>
            <w:tcW w:w="2028" w:type="dxa"/>
            <w:tcBorders>
              <w:top w:val="single" w:color="auto" w:sz="4" w:space="0"/>
              <w:left w:val="single" w:color="auto" w:sz="4" w:space="0"/>
              <w:bottom w:val="single" w:color="auto" w:sz="4" w:space="0"/>
              <w:right w:val="single" w:color="auto" w:sz="4" w:space="0"/>
            </w:tcBorders>
          </w:tcPr>
          <w:p w14:paraId="3D1D3923">
            <w:pPr>
              <w:pStyle w:val="38"/>
              <w:keepNext w:val="0"/>
              <w:keepLines w:val="0"/>
              <w:widowControl w:val="0"/>
            </w:pPr>
            <w:r>
              <w:t>3</w:t>
            </w:r>
          </w:p>
        </w:tc>
      </w:tr>
      <w:tr w14:paraId="1E6A4887">
        <w:tblPrEx>
          <w:tblCellMar>
            <w:top w:w="0" w:type="dxa"/>
            <w:left w:w="0" w:type="dxa"/>
            <w:bottom w:w="0" w:type="dxa"/>
            <w:right w:w="0" w:type="dxa"/>
          </w:tblCellMar>
        </w:tblPrEx>
        <w:trPr>
          <w:trHeight w:val="252" w:hRule="atLeast"/>
          <w:jc w:val="center"/>
        </w:trPr>
        <w:tc>
          <w:tcPr>
            <w:tcW w:w="21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7268EA9">
            <w:pPr>
              <w:pStyle w:val="39"/>
              <w:keepNext w:val="0"/>
              <w:keepLines w:val="0"/>
              <w:widowControl w:val="0"/>
            </w:pPr>
            <w:r>
              <w:t>Binary Channel Bits Per Subframe</w:t>
            </w:r>
          </w:p>
        </w:tc>
        <w:tc>
          <w:tcPr>
            <w:tcW w:w="5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5E6CAA0">
            <w:pPr>
              <w:pStyle w:val="38"/>
              <w:keepNext w:val="0"/>
              <w:keepLines w:val="0"/>
              <w:widowControl w:val="0"/>
            </w:pPr>
            <w:r>
              <w:t> </w:t>
            </w:r>
          </w:p>
        </w:tc>
        <w:tc>
          <w:tcPr>
            <w:tcW w:w="24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9BC671C">
            <w:pPr>
              <w:pStyle w:val="38"/>
              <w:keepNext w:val="0"/>
              <w:keepLines w:val="0"/>
              <w:widowControl w:val="0"/>
            </w:pPr>
            <w:r>
              <w:t> </w:t>
            </w:r>
          </w:p>
        </w:tc>
        <w:tc>
          <w:tcPr>
            <w:tcW w:w="2028" w:type="dxa"/>
            <w:tcBorders>
              <w:top w:val="single" w:color="auto" w:sz="4" w:space="0"/>
              <w:left w:val="single" w:color="auto" w:sz="4" w:space="0"/>
              <w:bottom w:val="single" w:color="auto" w:sz="4" w:space="0"/>
              <w:right w:val="single" w:color="auto" w:sz="4" w:space="0"/>
            </w:tcBorders>
          </w:tcPr>
          <w:p w14:paraId="089D2D65">
            <w:pPr>
              <w:pStyle w:val="38"/>
              <w:keepNext w:val="0"/>
              <w:keepLines w:val="0"/>
              <w:widowControl w:val="0"/>
            </w:pPr>
            <w:r>
              <w:t> </w:t>
            </w:r>
          </w:p>
        </w:tc>
      </w:tr>
      <w:tr w14:paraId="368BF992">
        <w:tblPrEx>
          <w:tblCellMar>
            <w:top w:w="0" w:type="dxa"/>
            <w:left w:w="0" w:type="dxa"/>
            <w:bottom w:w="0" w:type="dxa"/>
            <w:right w:w="0" w:type="dxa"/>
          </w:tblCellMar>
        </w:tblPrEx>
        <w:trPr>
          <w:trHeight w:val="246" w:hRule="atLeast"/>
          <w:jc w:val="center"/>
        </w:trPr>
        <w:tc>
          <w:tcPr>
            <w:tcW w:w="21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8780DCD">
            <w:pPr>
              <w:pStyle w:val="39"/>
              <w:keepNext w:val="0"/>
              <w:keepLines w:val="0"/>
              <w:widowControl w:val="0"/>
            </w:pPr>
            <w:r>
              <w:t>For Sub-Frames 0,1,2,3,4,5,6,7,8,9</w:t>
            </w:r>
          </w:p>
        </w:tc>
        <w:tc>
          <w:tcPr>
            <w:tcW w:w="5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91AD946">
            <w:pPr>
              <w:pStyle w:val="38"/>
              <w:keepNext w:val="0"/>
              <w:keepLines w:val="0"/>
              <w:widowControl w:val="0"/>
            </w:pPr>
            <w:r>
              <w:t>Bits</w:t>
            </w:r>
          </w:p>
        </w:tc>
        <w:tc>
          <w:tcPr>
            <w:tcW w:w="24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BFF5B1">
            <w:pPr>
              <w:pStyle w:val="38"/>
              <w:keepNext w:val="0"/>
              <w:keepLines w:val="0"/>
              <w:widowControl w:val="0"/>
              <w:rPr>
                <w:rFonts w:hint="default" w:eastAsiaTheme="minorEastAsia"/>
                <w:highlight w:val="yellow"/>
                <w:lang w:val="en-US" w:eastAsia="zh-CN"/>
              </w:rPr>
            </w:pPr>
            <w:r>
              <w:rPr>
                <w:rFonts w:hint="eastAsia" w:eastAsiaTheme="minorEastAsia"/>
                <w:highlight w:val="yellow"/>
                <w:lang w:val="en-US" w:eastAsia="zh-CN"/>
              </w:rPr>
              <w:t>10200</w:t>
            </w:r>
          </w:p>
        </w:tc>
        <w:tc>
          <w:tcPr>
            <w:tcW w:w="2028" w:type="dxa"/>
            <w:tcBorders>
              <w:top w:val="single" w:color="auto" w:sz="4" w:space="0"/>
              <w:left w:val="single" w:color="auto" w:sz="4" w:space="0"/>
              <w:bottom w:val="single" w:color="auto" w:sz="4" w:space="0"/>
              <w:right w:val="single" w:color="auto" w:sz="4" w:space="0"/>
            </w:tcBorders>
          </w:tcPr>
          <w:p w14:paraId="6975A8E2">
            <w:pPr>
              <w:pStyle w:val="38"/>
              <w:keepNext w:val="0"/>
              <w:keepLines w:val="0"/>
              <w:widowControl w:val="0"/>
              <w:rPr>
                <w:rFonts w:eastAsiaTheme="minorEastAsia"/>
                <w:highlight w:val="yellow"/>
                <w:lang w:eastAsia="zh-CN"/>
              </w:rPr>
            </w:pPr>
            <w:r>
              <w:rPr>
                <w:rFonts w:hint="eastAsia" w:eastAsiaTheme="minorEastAsia"/>
                <w:highlight w:val="yellow"/>
                <w:lang w:eastAsia="zh-CN"/>
              </w:rPr>
              <w:t>20400</w:t>
            </w:r>
          </w:p>
        </w:tc>
      </w:tr>
      <w:tr w14:paraId="6B5F3F01">
        <w:tblPrEx>
          <w:tblCellMar>
            <w:top w:w="0" w:type="dxa"/>
            <w:left w:w="0" w:type="dxa"/>
            <w:bottom w:w="0" w:type="dxa"/>
            <w:right w:w="0" w:type="dxa"/>
          </w:tblCellMar>
        </w:tblPrEx>
        <w:trPr>
          <w:trHeight w:val="263" w:hRule="atLeast"/>
          <w:jc w:val="center"/>
        </w:trPr>
        <w:tc>
          <w:tcPr>
            <w:tcW w:w="21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BCEA147">
            <w:pPr>
              <w:pStyle w:val="39"/>
              <w:keepNext w:val="0"/>
              <w:keepLines w:val="0"/>
              <w:widowControl w:val="0"/>
            </w:pPr>
            <w:r>
              <w:t>MBMS UE Category</w:t>
            </w:r>
          </w:p>
        </w:tc>
        <w:tc>
          <w:tcPr>
            <w:tcW w:w="5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5AA372E">
            <w:pPr>
              <w:pStyle w:val="38"/>
              <w:keepNext w:val="0"/>
              <w:keepLines w:val="0"/>
              <w:widowControl w:val="0"/>
            </w:pPr>
            <w:r>
              <w:t> </w:t>
            </w:r>
          </w:p>
        </w:tc>
        <w:tc>
          <w:tcPr>
            <w:tcW w:w="24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FD7769A">
            <w:pPr>
              <w:pStyle w:val="38"/>
              <w:keepNext w:val="0"/>
              <w:keepLines w:val="0"/>
              <w:widowControl w:val="0"/>
            </w:pPr>
            <w:r>
              <w:t>≥ 1</w:t>
            </w:r>
          </w:p>
        </w:tc>
        <w:tc>
          <w:tcPr>
            <w:tcW w:w="2028" w:type="dxa"/>
            <w:tcBorders>
              <w:top w:val="single" w:color="auto" w:sz="4" w:space="0"/>
              <w:left w:val="single" w:color="auto" w:sz="4" w:space="0"/>
              <w:bottom w:val="single" w:color="auto" w:sz="4" w:space="0"/>
              <w:right w:val="single" w:color="auto" w:sz="4" w:space="0"/>
            </w:tcBorders>
          </w:tcPr>
          <w:p w14:paraId="659F90DA">
            <w:pPr>
              <w:pStyle w:val="38"/>
              <w:keepNext w:val="0"/>
              <w:keepLines w:val="0"/>
              <w:widowControl w:val="0"/>
            </w:pPr>
            <w:r>
              <w:t>≥ 2</w:t>
            </w:r>
          </w:p>
        </w:tc>
      </w:tr>
      <w:tr w14:paraId="226A8544">
        <w:tblPrEx>
          <w:tblCellMar>
            <w:top w:w="0" w:type="dxa"/>
            <w:left w:w="0" w:type="dxa"/>
            <w:bottom w:w="0" w:type="dxa"/>
            <w:right w:w="0" w:type="dxa"/>
          </w:tblCellMar>
        </w:tblPrEx>
        <w:trPr>
          <w:trHeight w:val="66" w:hRule="atLeast"/>
          <w:jc w:val="center"/>
        </w:trPr>
        <w:tc>
          <w:tcPr>
            <w:tcW w:w="7197" w:type="dxa"/>
            <w:gridSpan w:val="4"/>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8C11257">
            <w:pPr>
              <w:pStyle w:val="56"/>
              <w:keepNext w:val="0"/>
              <w:keepLines w:val="0"/>
              <w:widowControl w:val="0"/>
            </w:pPr>
            <w:r>
              <w:t xml:space="preserve">Note </w:t>
            </w:r>
            <w:r>
              <w:rPr>
                <w:rFonts w:hint="eastAsia"/>
                <w:lang w:eastAsia="zh-CN"/>
              </w:rPr>
              <w:t>1</w:t>
            </w:r>
            <w:r>
              <w:t>:</w:t>
            </w:r>
            <w:r>
              <w:tab/>
            </w:r>
            <w:r>
              <w:t>2 OFDM symbols are reserved for PDCCH; and no CRS allocated as per TS 36.211 [4].</w:t>
            </w:r>
          </w:p>
          <w:p w14:paraId="2D7F62EB">
            <w:pPr>
              <w:pStyle w:val="56"/>
              <w:keepNext w:val="0"/>
              <w:keepLines w:val="0"/>
              <w:widowControl w:val="0"/>
            </w:pPr>
            <w:r>
              <w:t xml:space="preserve">Note </w:t>
            </w:r>
            <w:r>
              <w:rPr>
                <w:rFonts w:hint="eastAsia"/>
                <w:lang w:eastAsia="zh-CN"/>
              </w:rPr>
              <w:t>2</w:t>
            </w:r>
            <w:r>
              <w:t>:</w:t>
            </w:r>
            <w:r>
              <w:tab/>
            </w:r>
            <w:r>
              <w:t>If more than one Code Block is present, an additional CRC sequence of L = 24 Bits is attached to each Code Block (otherwise L = 0 Bit).</w:t>
            </w:r>
          </w:p>
        </w:tc>
      </w:tr>
    </w:tbl>
    <w:p w14:paraId="5A1A5985">
      <w:pPr>
        <w:rPr>
          <w:rFonts w:hint="default"/>
          <w:lang w:val="en-US" w:eastAsia="zh-CN"/>
        </w:rPr>
      </w:pPr>
      <w:r>
        <w:rPr>
          <w:rFonts w:hint="eastAsia"/>
          <w:b/>
          <w:bCs/>
          <w:i/>
          <w:iCs/>
          <w:lang w:val="en-US" w:eastAsia="zh-CN"/>
        </w:rPr>
        <w:t>Proposal 4</w:t>
      </w:r>
      <w:r>
        <w:rPr>
          <w:rFonts w:hint="eastAsia"/>
          <w:b w:val="0"/>
          <w:bCs w:val="0"/>
          <w:i/>
          <w:iCs/>
          <w:lang w:val="en-US" w:eastAsia="zh-CN"/>
        </w:rPr>
        <w:t>:</w:t>
      </w:r>
      <w:r>
        <w:rPr>
          <w:rFonts w:hint="eastAsia"/>
          <w:i/>
          <w:iCs/>
          <w:lang w:val="en-US" w:eastAsia="zh-CN"/>
        </w:rPr>
        <w:t xml:space="preserve"> To specify the spurious emission requirement for LTE based 5G broadcast utilizing satellite as table 7.7C-1 and table 7.7C-2.</w:t>
      </w:r>
    </w:p>
    <w:p w14:paraId="71DE5D31">
      <w:pPr>
        <w:pStyle w:val="40"/>
      </w:pPr>
      <w:r>
        <w:t>Table 7.7</w:t>
      </w:r>
      <w:r>
        <w:rPr>
          <w:rFonts w:hint="eastAsia"/>
          <w:lang w:val="en-US" w:eastAsia="zh-CN"/>
        </w:rPr>
        <w:t>C</w:t>
      </w:r>
      <w:r>
        <w:t>-1: Spurious response parameters</w:t>
      </w:r>
    </w:p>
    <w:tbl>
      <w:tblPr>
        <w:tblStyle w:val="18"/>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816"/>
        <w:gridCol w:w="6409"/>
      </w:tblGrid>
      <w:tr w14:paraId="2AB21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Merge w:val="restart"/>
          </w:tcPr>
          <w:p w14:paraId="0CCFB487">
            <w:pPr>
              <w:pStyle w:val="37"/>
              <w:rPr>
                <w:rFonts w:cs="Arial"/>
              </w:rPr>
            </w:pPr>
            <w:r>
              <w:rPr>
                <w:rFonts w:cs="Arial"/>
              </w:rPr>
              <w:t>Rx parameter</w:t>
            </w:r>
          </w:p>
        </w:tc>
        <w:tc>
          <w:tcPr>
            <w:tcW w:w="816" w:type="dxa"/>
            <w:vMerge w:val="restart"/>
          </w:tcPr>
          <w:p w14:paraId="70AF5E22">
            <w:pPr>
              <w:pStyle w:val="37"/>
              <w:rPr>
                <w:rFonts w:cs="Arial"/>
              </w:rPr>
            </w:pPr>
            <w:r>
              <w:rPr>
                <w:rFonts w:cs="Arial"/>
              </w:rPr>
              <w:t xml:space="preserve">Units </w:t>
            </w:r>
          </w:p>
        </w:tc>
        <w:tc>
          <w:tcPr>
            <w:tcW w:w="6409" w:type="dxa"/>
          </w:tcPr>
          <w:p w14:paraId="2A9A2031">
            <w:pPr>
              <w:pStyle w:val="37"/>
              <w:rPr>
                <w:rFonts w:cs="Arial"/>
              </w:rPr>
            </w:pPr>
            <w:r>
              <w:rPr>
                <w:rFonts w:cs="Arial"/>
              </w:rPr>
              <w:t>Channel bandwidth</w:t>
            </w:r>
          </w:p>
        </w:tc>
      </w:tr>
      <w:tr w14:paraId="7C2A7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Merge w:val="continue"/>
          </w:tcPr>
          <w:p w14:paraId="053A68C5">
            <w:pPr>
              <w:pStyle w:val="37"/>
              <w:rPr>
                <w:rFonts w:cs="Arial"/>
              </w:rPr>
            </w:pPr>
          </w:p>
        </w:tc>
        <w:tc>
          <w:tcPr>
            <w:tcW w:w="816" w:type="dxa"/>
            <w:vMerge w:val="continue"/>
          </w:tcPr>
          <w:p w14:paraId="0103FC60">
            <w:pPr>
              <w:pStyle w:val="37"/>
              <w:rPr>
                <w:rFonts w:cs="Arial"/>
              </w:rPr>
            </w:pPr>
          </w:p>
        </w:tc>
        <w:tc>
          <w:tcPr>
            <w:tcW w:w="6409" w:type="dxa"/>
          </w:tcPr>
          <w:p w14:paraId="05FBC2FB">
            <w:pPr>
              <w:pStyle w:val="37"/>
              <w:rPr>
                <w:rFonts w:cs="Arial"/>
              </w:rPr>
            </w:pPr>
            <w:r>
              <w:rPr>
                <w:rFonts w:hint="eastAsia" w:cs="Arial"/>
                <w:lang w:val="en-US" w:eastAsia="zh-CN"/>
              </w:rPr>
              <w:t>10</w:t>
            </w:r>
            <w:r>
              <w:rPr>
                <w:rFonts w:cs="Arial"/>
              </w:rPr>
              <w:t xml:space="preserve"> MHz </w:t>
            </w:r>
          </w:p>
        </w:tc>
      </w:tr>
      <w:tr w14:paraId="599E5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Merge w:val="restart"/>
            <w:vAlign w:val="center"/>
          </w:tcPr>
          <w:p w14:paraId="344C51C5">
            <w:pPr>
              <w:pStyle w:val="39"/>
              <w:rPr>
                <w:rFonts w:cs="Arial"/>
                <w:bCs/>
              </w:rPr>
            </w:pPr>
            <w:r>
              <w:rPr>
                <w:rFonts w:cs="Arial"/>
              </w:rPr>
              <w:t>Power in Transmission Bandwidth Configuration</w:t>
            </w:r>
          </w:p>
        </w:tc>
        <w:tc>
          <w:tcPr>
            <w:tcW w:w="816" w:type="dxa"/>
            <w:vMerge w:val="restart"/>
            <w:vAlign w:val="center"/>
          </w:tcPr>
          <w:p w14:paraId="09B18492">
            <w:pPr>
              <w:pStyle w:val="38"/>
              <w:rPr>
                <w:rFonts w:cs="Arial"/>
              </w:rPr>
            </w:pPr>
            <w:r>
              <w:rPr>
                <w:rFonts w:cs="Arial"/>
              </w:rPr>
              <w:t>dBm</w:t>
            </w:r>
          </w:p>
        </w:tc>
        <w:tc>
          <w:tcPr>
            <w:tcW w:w="6409" w:type="dxa"/>
            <w:vAlign w:val="bottom"/>
          </w:tcPr>
          <w:p w14:paraId="204DA0FA">
            <w:pPr>
              <w:pStyle w:val="38"/>
              <w:rPr>
                <w:rFonts w:cs="Arial"/>
              </w:rPr>
            </w:pPr>
            <w:r>
              <w:rPr>
                <w:rFonts w:cs="Arial"/>
              </w:rPr>
              <w:t>REFSENS + channel bandwidth specific value below</w:t>
            </w:r>
          </w:p>
        </w:tc>
      </w:tr>
      <w:tr w14:paraId="356CC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9" w:type="dxa"/>
            <w:vMerge w:val="continue"/>
            <w:vAlign w:val="center"/>
          </w:tcPr>
          <w:p w14:paraId="23BDC72F">
            <w:pPr>
              <w:pStyle w:val="58"/>
              <w:spacing w:after="0"/>
              <w:jc w:val="left"/>
              <w:rPr>
                <w:rFonts w:eastAsia="MS Mincho" w:cs="Arial"/>
                <w:bCs/>
                <w:sz w:val="18"/>
                <w:szCs w:val="18"/>
                <w:lang w:eastAsia="ja-JP"/>
              </w:rPr>
            </w:pPr>
          </w:p>
        </w:tc>
        <w:tc>
          <w:tcPr>
            <w:tcW w:w="816" w:type="dxa"/>
            <w:vMerge w:val="continue"/>
            <w:vAlign w:val="center"/>
          </w:tcPr>
          <w:p w14:paraId="572EFF94">
            <w:pPr>
              <w:pStyle w:val="38"/>
              <w:rPr>
                <w:rFonts w:cs="Arial"/>
              </w:rPr>
            </w:pPr>
          </w:p>
        </w:tc>
        <w:tc>
          <w:tcPr>
            <w:tcW w:w="6409" w:type="dxa"/>
            <w:vAlign w:val="center"/>
          </w:tcPr>
          <w:p w14:paraId="7BD4D910">
            <w:pPr>
              <w:pStyle w:val="38"/>
              <w:rPr>
                <w:rFonts w:cs="Arial"/>
              </w:rPr>
            </w:pPr>
            <w:r>
              <w:rPr>
                <w:rFonts w:cs="Arial"/>
              </w:rPr>
              <w:t>6</w:t>
            </w:r>
          </w:p>
        </w:tc>
      </w:tr>
      <w:tr w14:paraId="0F08B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8784" w:type="dxa"/>
            <w:gridSpan w:val="3"/>
          </w:tcPr>
          <w:p w14:paraId="1B8C7AE3">
            <w:pPr>
              <w:pStyle w:val="56"/>
              <w:rPr>
                <w:rFonts w:eastAsia="MS Mincho" w:cs="Arial"/>
              </w:rPr>
            </w:pPr>
            <w:r>
              <w:rPr>
                <w:rFonts w:eastAsia="MS Mincho" w:cs="Arial"/>
              </w:rPr>
              <w:t>NOTE:</w:t>
            </w:r>
            <w:r>
              <w:rPr>
                <w:rFonts w:eastAsia="MS Mincho" w:cs="Arial"/>
              </w:rPr>
              <w:tab/>
            </w:r>
            <w:r>
              <w:rPr>
                <w:rFonts w:eastAsia="MS Mincho" w:cs="Arial"/>
              </w:rPr>
              <w:t>Reference measurement channel is specified in Annex A.</w:t>
            </w:r>
            <w:r>
              <w:rPr>
                <w:rFonts w:hint="eastAsia" w:eastAsia="宋体" w:cs="Arial"/>
                <w:lang w:val="en-US" w:eastAsia="zh-CN"/>
              </w:rPr>
              <w:t>1.</w:t>
            </w:r>
            <w:r>
              <w:rPr>
                <w:rFonts w:eastAsia="MS Mincho" w:cs="Arial"/>
              </w:rPr>
              <w:t>3.</w:t>
            </w:r>
          </w:p>
        </w:tc>
      </w:tr>
    </w:tbl>
    <w:p w14:paraId="2E3AD710"/>
    <w:p w14:paraId="6D060FFC">
      <w:pPr>
        <w:pStyle w:val="40"/>
      </w:pPr>
      <w:r>
        <w:t>Table 7.7</w:t>
      </w:r>
      <w:r>
        <w:rPr>
          <w:rFonts w:hint="eastAsia"/>
          <w:lang w:val="en-US" w:eastAsia="zh-CN"/>
        </w:rPr>
        <w:t>C</w:t>
      </w:r>
      <w:r>
        <w:t>-2: Spurious response</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0"/>
        <w:gridCol w:w="2261"/>
        <w:gridCol w:w="2749"/>
      </w:tblGrid>
      <w:tr w14:paraId="64842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260" w:type="dxa"/>
          </w:tcPr>
          <w:p w14:paraId="2F58D2D0">
            <w:pPr>
              <w:pStyle w:val="37"/>
              <w:rPr>
                <w:rFonts w:cs="Arial"/>
              </w:rPr>
            </w:pPr>
            <w:r>
              <w:rPr>
                <w:rFonts w:cs="Arial"/>
              </w:rPr>
              <w:br w:type="page"/>
            </w:r>
            <w:r>
              <w:rPr>
                <w:rFonts w:cs="Arial"/>
              </w:rPr>
              <w:t>Parameter</w:t>
            </w:r>
          </w:p>
        </w:tc>
        <w:tc>
          <w:tcPr>
            <w:tcW w:w="2261" w:type="dxa"/>
          </w:tcPr>
          <w:p w14:paraId="61534663">
            <w:pPr>
              <w:pStyle w:val="37"/>
              <w:rPr>
                <w:rFonts w:cs="Arial"/>
              </w:rPr>
            </w:pPr>
            <w:r>
              <w:rPr>
                <w:rFonts w:cs="Arial"/>
              </w:rPr>
              <w:t>Unit</w:t>
            </w:r>
          </w:p>
        </w:tc>
        <w:tc>
          <w:tcPr>
            <w:tcW w:w="2749" w:type="dxa"/>
          </w:tcPr>
          <w:p w14:paraId="51F2CD13">
            <w:pPr>
              <w:pStyle w:val="37"/>
              <w:rPr>
                <w:rFonts w:cs="Arial"/>
              </w:rPr>
            </w:pPr>
            <w:r>
              <w:rPr>
                <w:rFonts w:cs="Arial"/>
              </w:rPr>
              <w:t>Level</w:t>
            </w:r>
          </w:p>
        </w:tc>
      </w:tr>
      <w:tr w14:paraId="0ED6D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260" w:type="dxa"/>
            <w:vAlign w:val="center"/>
          </w:tcPr>
          <w:p w14:paraId="085FF6DC">
            <w:pPr>
              <w:pStyle w:val="39"/>
              <w:rPr>
                <w:rFonts w:cs="Arial"/>
                <w:vertAlign w:val="subscript"/>
              </w:rPr>
            </w:pPr>
            <w:r>
              <w:rPr>
                <w:rFonts w:cs="Arial"/>
              </w:rPr>
              <w:t>P</w:t>
            </w:r>
            <w:r>
              <w:rPr>
                <w:rFonts w:cs="Arial"/>
                <w:vertAlign w:val="subscript"/>
              </w:rPr>
              <w:t>Interferer</w:t>
            </w:r>
          </w:p>
          <w:p w14:paraId="05009F91">
            <w:pPr>
              <w:pStyle w:val="39"/>
              <w:rPr>
                <w:rFonts w:cs="Arial"/>
              </w:rPr>
            </w:pPr>
            <w:r>
              <w:rPr>
                <w:rFonts w:cs="Arial"/>
              </w:rPr>
              <w:t>(CW)</w:t>
            </w:r>
          </w:p>
        </w:tc>
        <w:tc>
          <w:tcPr>
            <w:tcW w:w="2261" w:type="dxa"/>
            <w:vAlign w:val="center"/>
          </w:tcPr>
          <w:p w14:paraId="1BE6CDFD">
            <w:pPr>
              <w:pStyle w:val="38"/>
              <w:rPr>
                <w:rFonts w:cs="Arial"/>
              </w:rPr>
            </w:pPr>
            <w:r>
              <w:rPr>
                <w:rFonts w:cs="Arial"/>
              </w:rPr>
              <w:t>dBm</w:t>
            </w:r>
          </w:p>
        </w:tc>
        <w:tc>
          <w:tcPr>
            <w:tcW w:w="2749" w:type="dxa"/>
            <w:vAlign w:val="center"/>
          </w:tcPr>
          <w:p w14:paraId="304FD156">
            <w:pPr>
              <w:pStyle w:val="38"/>
              <w:rPr>
                <w:rFonts w:cs="Arial"/>
              </w:rPr>
            </w:pPr>
            <w:r>
              <w:rPr>
                <w:rFonts w:cs="Arial"/>
              </w:rPr>
              <w:t>-44</w:t>
            </w:r>
          </w:p>
        </w:tc>
      </w:tr>
      <w:tr w14:paraId="57591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260" w:type="dxa"/>
            <w:vAlign w:val="center"/>
          </w:tcPr>
          <w:p w14:paraId="7920BD97">
            <w:pPr>
              <w:pStyle w:val="39"/>
              <w:rPr>
                <w:rFonts w:cs="Arial"/>
              </w:rPr>
            </w:pPr>
            <w:r>
              <w:rPr>
                <w:rFonts w:cs="Arial"/>
              </w:rPr>
              <w:t>F</w:t>
            </w:r>
            <w:r>
              <w:rPr>
                <w:rFonts w:cs="Arial"/>
                <w:vertAlign w:val="subscript"/>
              </w:rPr>
              <w:t>Interferer</w:t>
            </w:r>
          </w:p>
        </w:tc>
        <w:tc>
          <w:tcPr>
            <w:tcW w:w="2261" w:type="dxa"/>
            <w:vAlign w:val="center"/>
          </w:tcPr>
          <w:p w14:paraId="4E37F38C">
            <w:pPr>
              <w:pStyle w:val="38"/>
              <w:rPr>
                <w:rFonts w:cs="Arial"/>
              </w:rPr>
            </w:pPr>
            <w:r>
              <w:rPr>
                <w:rFonts w:cs="Arial"/>
              </w:rPr>
              <w:t>MHz</w:t>
            </w:r>
          </w:p>
        </w:tc>
        <w:tc>
          <w:tcPr>
            <w:tcW w:w="2749" w:type="dxa"/>
            <w:vAlign w:val="center"/>
          </w:tcPr>
          <w:p w14:paraId="4A3BA6DB">
            <w:pPr>
              <w:pStyle w:val="38"/>
              <w:rPr>
                <w:rFonts w:cs="Arial"/>
              </w:rPr>
            </w:pPr>
            <w:r>
              <w:rPr>
                <w:rFonts w:cs="Arial"/>
              </w:rPr>
              <w:t>Spurious response frequencies</w:t>
            </w:r>
          </w:p>
        </w:tc>
      </w:tr>
    </w:tbl>
    <w:p w14:paraId="764D28FB">
      <w:pPr>
        <w:pStyle w:val="2"/>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120" w:after="120" w:line="240" w:lineRule="auto"/>
        <w:jc w:val="both"/>
        <w:textAlignment w:val="baseline"/>
        <w:rPr>
          <w:rFonts w:eastAsia="宋体"/>
          <w:highlight w:val="none"/>
          <w:lang w:val="en-US" w:eastAsia="zh-CN"/>
        </w:rPr>
      </w:pPr>
      <w:r>
        <w:rPr>
          <w:rFonts w:hint="eastAsia" w:eastAsia="宋体"/>
          <w:highlight w:val="none"/>
          <w:lang w:val="en-US" w:eastAsia="zh-CN"/>
        </w:rPr>
        <w:t>Reference</w:t>
      </w:r>
    </w:p>
    <w:p w14:paraId="244B79CE">
      <w:pPr>
        <w:pStyle w:val="11"/>
        <w:rPr>
          <w:sz w:val="20"/>
          <w:szCs w:val="20"/>
          <w:highlight w:val="none"/>
        </w:rPr>
      </w:pPr>
      <w:r>
        <w:rPr>
          <w:highlight w:val="none"/>
        </w:rPr>
        <w:t>RP-2</w:t>
      </w:r>
      <w:r>
        <w:rPr>
          <w:rFonts w:hint="eastAsia"/>
          <w:highlight w:val="none"/>
          <w:lang w:val="en-US" w:eastAsia="zh-CN"/>
        </w:rPr>
        <w:t>50788</w:t>
      </w:r>
      <w:r>
        <w:rPr>
          <w:highlight w:val="none"/>
        </w:rPr>
        <w:t xml:space="preserve">, </w:t>
      </w:r>
      <w:r>
        <w:rPr>
          <w:highlight w:val="none"/>
          <w:lang w:eastAsia="zh-CN"/>
        </w:rPr>
        <w:t>New band for 5G Broadcast Utilizing</w:t>
      </w:r>
      <w:r>
        <w:rPr>
          <w:rFonts w:hint="eastAsia"/>
          <w:highlight w:val="none"/>
          <w:lang w:eastAsia="zh-CN"/>
        </w:rPr>
        <w:t xml:space="preserve"> </w:t>
      </w:r>
      <w:r>
        <w:rPr>
          <w:highlight w:val="none"/>
          <w:lang w:eastAsia="zh-CN"/>
        </w:rPr>
        <w:t>Geosynchronous Satellite</w:t>
      </w:r>
      <w:r>
        <w:rPr>
          <w:highlight w:val="none"/>
        </w:rPr>
        <w:t>.</w:t>
      </w:r>
    </w:p>
    <w:p w14:paraId="493D6C3B">
      <w:pPr>
        <w:pStyle w:val="11"/>
        <w:rPr>
          <w:sz w:val="20"/>
          <w:szCs w:val="20"/>
          <w:highlight w:val="none"/>
        </w:rPr>
      </w:pPr>
      <w:r>
        <w:rPr>
          <w:rFonts w:hint="eastAsia"/>
          <w:lang w:val="en-US" w:eastAsia="zh-CN"/>
        </w:rPr>
        <w:t>R4-2504725, WF for 114bis318 5G_Broadcast_GSO_NTN_band, Astrum Mobile, Qualcomm, ZTE, Huawei</w:t>
      </w:r>
    </w:p>
    <w:p w14:paraId="29F95C90">
      <w:pPr>
        <w:pStyle w:val="11"/>
        <w:rPr>
          <w:sz w:val="20"/>
          <w:szCs w:val="20"/>
          <w:highlight w:val="none"/>
        </w:rPr>
      </w:pPr>
      <w:r>
        <w:t>3GPP TS 36.101: "Evolved Universal Terrestrial Radio Access (E-UTRA); User Equipment (UE) radio transmission and reception"</w:t>
      </w:r>
    </w:p>
    <w:p w14:paraId="509AE3AE">
      <w:pPr>
        <w:pStyle w:val="11"/>
        <w:rPr>
          <w:sz w:val="20"/>
          <w:szCs w:val="20"/>
          <w:highlight w:val="none"/>
        </w:rPr>
      </w:pPr>
      <w:r>
        <w:t>3GPP TS 36.10</w:t>
      </w:r>
      <w:r>
        <w:rPr>
          <w:rFonts w:hint="eastAsia"/>
          <w:lang w:val="en-US" w:eastAsia="zh-CN"/>
        </w:rPr>
        <w:t>2</w:t>
      </w:r>
      <w:r>
        <w:t xml:space="preserve">: "Evolved Universal Terrestrial Radio Access (E-UTRA); </w:t>
      </w:r>
      <w:r>
        <w:rPr>
          <w:rFonts w:hint="eastAsia"/>
        </w:rPr>
        <w:t>User Equipment (UE) radio transmission and reception for satellite access</w:t>
      </w:r>
      <w:r>
        <w:t>"</w:t>
      </w: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Calibri Light">
    <w:panose1 w:val="020F03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Microsoft Sans Serif">
    <w:panose1 w:val="020B0604020202020204"/>
    <w:charset w:val="00"/>
    <w:family w:val="swiss"/>
    <w:pitch w:val="default"/>
    <w:sig w:usb0="E5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1992FF">
    <w:pPr>
      <w:pStyle w:val="15"/>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38DD23FB"/>
    <w:multiLevelType w:val="multilevel"/>
    <w:tmpl w:val="38DD23FB"/>
    <w:lvl w:ilvl="0" w:tentative="0">
      <w:start w:val="1"/>
      <w:numFmt w:val="bullet"/>
      <w:lvlText w:val="•"/>
      <w:lvlJc w:val="left"/>
      <w:pPr>
        <w:tabs>
          <w:tab w:val="left" w:pos="720"/>
        </w:tabs>
        <w:ind w:left="720" w:hanging="360"/>
      </w:pPr>
      <w:rPr>
        <w:rFonts w:hint="default" w:ascii="Arial" w:hAnsi="Arial"/>
      </w:rPr>
    </w:lvl>
    <w:lvl w:ilvl="1" w:tentative="0">
      <w:start w:val="0"/>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Microsoft Sans Serif" w:hAnsi="Microsoft Sans Serif"/>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4D6E3167"/>
    <w:multiLevelType w:val="multilevel"/>
    <w:tmpl w:val="4D6E3167"/>
    <w:lvl w:ilvl="0" w:tentative="0">
      <w:start w:val="1"/>
      <w:numFmt w:val="decimal"/>
      <w:pStyle w:val="4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6B5B4F67"/>
    <w:multiLevelType w:val="multilevel"/>
    <w:tmpl w:val="6B5B4F67"/>
    <w:lvl w:ilvl="0" w:tentative="0">
      <w:start w:val="1"/>
      <w:numFmt w:val="decimal"/>
      <w:pStyle w:val="11"/>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4C94"/>
    <w:rsid w:val="0001593D"/>
    <w:rsid w:val="00015D8F"/>
    <w:rsid w:val="00015EA9"/>
    <w:rsid w:val="000168F9"/>
    <w:rsid w:val="00016BE3"/>
    <w:rsid w:val="00017F16"/>
    <w:rsid w:val="000201B5"/>
    <w:rsid w:val="000216D2"/>
    <w:rsid w:val="00021DE0"/>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032B"/>
    <w:rsid w:val="000C3B38"/>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0FE7"/>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570"/>
    <w:rsid w:val="001E261D"/>
    <w:rsid w:val="001E275C"/>
    <w:rsid w:val="001E2E77"/>
    <w:rsid w:val="001E45E5"/>
    <w:rsid w:val="001E4AAE"/>
    <w:rsid w:val="001E4E10"/>
    <w:rsid w:val="001E527C"/>
    <w:rsid w:val="001E606D"/>
    <w:rsid w:val="001E632B"/>
    <w:rsid w:val="001F0030"/>
    <w:rsid w:val="001F02DE"/>
    <w:rsid w:val="001F07D9"/>
    <w:rsid w:val="001F216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A4C"/>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05C5A"/>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27DA7"/>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1FD8"/>
    <w:rsid w:val="00372800"/>
    <w:rsid w:val="00373399"/>
    <w:rsid w:val="00374059"/>
    <w:rsid w:val="003746D0"/>
    <w:rsid w:val="00376246"/>
    <w:rsid w:val="0037697D"/>
    <w:rsid w:val="00377076"/>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3F77D6"/>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26D37"/>
    <w:rsid w:val="00430353"/>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32B8"/>
    <w:rsid w:val="00454D97"/>
    <w:rsid w:val="00455646"/>
    <w:rsid w:val="004561E4"/>
    <w:rsid w:val="00456310"/>
    <w:rsid w:val="00456585"/>
    <w:rsid w:val="00457C2F"/>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2E0E"/>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EAF"/>
    <w:rsid w:val="004A4FFD"/>
    <w:rsid w:val="004A501F"/>
    <w:rsid w:val="004A69CB"/>
    <w:rsid w:val="004A74D2"/>
    <w:rsid w:val="004B0DDD"/>
    <w:rsid w:val="004B2F02"/>
    <w:rsid w:val="004B3987"/>
    <w:rsid w:val="004B3D42"/>
    <w:rsid w:val="004C1947"/>
    <w:rsid w:val="004C3F85"/>
    <w:rsid w:val="004C5B13"/>
    <w:rsid w:val="004C649B"/>
    <w:rsid w:val="004C64D0"/>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048"/>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67EA"/>
    <w:rsid w:val="00547135"/>
    <w:rsid w:val="00547EF2"/>
    <w:rsid w:val="00553BA5"/>
    <w:rsid w:val="00553D1B"/>
    <w:rsid w:val="0055473A"/>
    <w:rsid w:val="0055480B"/>
    <w:rsid w:val="00556ADF"/>
    <w:rsid w:val="0055795E"/>
    <w:rsid w:val="00560EA4"/>
    <w:rsid w:val="005628BA"/>
    <w:rsid w:val="0056388D"/>
    <w:rsid w:val="00563AB7"/>
    <w:rsid w:val="00566B59"/>
    <w:rsid w:val="00566F37"/>
    <w:rsid w:val="005679CE"/>
    <w:rsid w:val="005700ED"/>
    <w:rsid w:val="0057024B"/>
    <w:rsid w:val="00572123"/>
    <w:rsid w:val="00573FF9"/>
    <w:rsid w:val="00574D0D"/>
    <w:rsid w:val="00575177"/>
    <w:rsid w:val="00576404"/>
    <w:rsid w:val="005775DE"/>
    <w:rsid w:val="00580DFD"/>
    <w:rsid w:val="00581BF8"/>
    <w:rsid w:val="00581EF8"/>
    <w:rsid w:val="0058338B"/>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C28"/>
    <w:rsid w:val="005D4E8E"/>
    <w:rsid w:val="005D5022"/>
    <w:rsid w:val="005D50E3"/>
    <w:rsid w:val="005D5687"/>
    <w:rsid w:val="005D5F35"/>
    <w:rsid w:val="005D66FD"/>
    <w:rsid w:val="005E16B5"/>
    <w:rsid w:val="005E1862"/>
    <w:rsid w:val="005E199B"/>
    <w:rsid w:val="005E221C"/>
    <w:rsid w:val="005E34A5"/>
    <w:rsid w:val="005E35DE"/>
    <w:rsid w:val="005E48E9"/>
    <w:rsid w:val="005E68F0"/>
    <w:rsid w:val="005E7ED2"/>
    <w:rsid w:val="005F04BC"/>
    <w:rsid w:val="005F0A45"/>
    <w:rsid w:val="005F0B5B"/>
    <w:rsid w:val="005F0B80"/>
    <w:rsid w:val="005F312A"/>
    <w:rsid w:val="005F401C"/>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53F2"/>
    <w:rsid w:val="006764BE"/>
    <w:rsid w:val="00676D81"/>
    <w:rsid w:val="0067789C"/>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7CE"/>
    <w:rsid w:val="007111CB"/>
    <w:rsid w:val="007111E9"/>
    <w:rsid w:val="00712370"/>
    <w:rsid w:val="00713F3F"/>
    <w:rsid w:val="007149AC"/>
    <w:rsid w:val="00714B99"/>
    <w:rsid w:val="00716468"/>
    <w:rsid w:val="00716774"/>
    <w:rsid w:val="00721352"/>
    <w:rsid w:val="00722136"/>
    <w:rsid w:val="00722CE4"/>
    <w:rsid w:val="00723129"/>
    <w:rsid w:val="007260B5"/>
    <w:rsid w:val="007275B0"/>
    <w:rsid w:val="00732CAD"/>
    <w:rsid w:val="00735783"/>
    <w:rsid w:val="00736DD6"/>
    <w:rsid w:val="0073776F"/>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659F"/>
    <w:rsid w:val="007B730E"/>
    <w:rsid w:val="007C0190"/>
    <w:rsid w:val="007C1196"/>
    <w:rsid w:val="007C1257"/>
    <w:rsid w:val="007C2548"/>
    <w:rsid w:val="007C4115"/>
    <w:rsid w:val="007C5135"/>
    <w:rsid w:val="007C614D"/>
    <w:rsid w:val="007D3259"/>
    <w:rsid w:val="007D5E3C"/>
    <w:rsid w:val="007E00BC"/>
    <w:rsid w:val="007E0D6D"/>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368A1"/>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56CB"/>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5DD2"/>
    <w:rsid w:val="009062EF"/>
    <w:rsid w:val="00906802"/>
    <w:rsid w:val="0091044F"/>
    <w:rsid w:val="00910D2B"/>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5A96"/>
    <w:rsid w:val="009563FE"/>
    <w:rsid w:val="00960687"/>
    <w:rsid w:val="00960B18"/>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3ABE"/>
    <w:rsid w:val="009C4418"/>
    <w:rsid w:val="009C6CEA"/>
    <w:rsid w:val="009D3BD5"/>
    <w:rsid w:val="009D3F31"/>
    <w:rsid w:val="009D47A0"/>
    <w:rsid w:val="009D485D"/>
    <w:rsid w:val="009D6036"/>
    <w:rsid w:val="009D6D01"/>
    <w:rsid w:val="009E03C9"/>
    <w:rsid w:val="009E0BF9"/>
    <w:rsid w:val="009E313F"/>
    <w:rsid w:val="009E3543"/>
    <w:rsid w:val="009E3D62"/>
    <w:rsid w:val="009E61DF"/>
    <w:rsid w:val="009E6295"/>
    <w:rsid w:val="009E6457"/>
    <w:rsid w:val="009F0576"/>
    <w:rsid w:val="009F0673"/>
    <w:rsid w:val="009F15DB"/>
    <w:rsid w:val="009F1E20"/>
    <w:rsid w:val="009F5116"/>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15714"/>
    <w:rsid w:val="00A2040A"/>
    <w:rsid w:val="00A208FC"/>
    <w:rsid w:val="00A21296"/>
    <w:rsid w:val="00A2182A"/>
    <w:rsid w:val="00A22352"/>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452"/>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5AF8"/>
    <w:rsid w:val="00B26A85"/>
    <w:rsid w:val="00B27325"/>
    <w:rsid w:val="00B2783D"/>
    <w:rsid w:val="00B31524"/>
    <w:rsid w:val="00B3327A"/>
    <w:rsid w:val="00B35592"/>
    <w:rsid w:val="00B36A38"/>
    <w:rsid w:val="00B37B5E"/>
    <w:rsid w:val="00B4058D"/>
    <w:rsid w:val="00B43498"/>
    <w:rsid w:val="00B43919"/>
    <w:rsid w:val="00B43D28"/>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5905"/>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53C1"/>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12A2"/>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52A1"/>
    <w:rsid w:val="00C57D89"/>
    <w:rsid w:val="00C60227"/>
    <w:rsid w:val="00C61A40"/>
    <w:rsid w:val="00C63599"/>
    <w:rsid w:val="00C638F8"/>
    <w:rsid w:val="00C63E25"/>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924"/>
    <w:rsid w:val="00C80A26"/>
    <w:rsid w:val="00C80ED3"/>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1FF3"/>
    <w:rsid w:val="00CD2FC7"/>
    <w:rsid w:val="00CD4F56"/>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37757"/>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1652"/>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4CF9"/>
    <w:rsid w:val="00DD5CC2"/>
    <w:rsid w:val="00DD6686"/>
    <w:rsid w:val="00DD6ADA"/>
    <w:rsid w:val="00DD727D"/>
    <w:rsid w:val="00DE0DF1"/>
    <w:rsid w:val="00DE27AE"/>
    <w:rsid w:val="00DE289F"/>
    <w:rsid w:val="00DE2BD1"/>
    <w:rsid w:val="00DE42FC"/>
    <w:rsid w:val="00DE4579"/>
    <w:rsid w:val="00DE557A"/>
    <w:rsid w:val="00DE5D04"/>
    <w:rsid w:val="00DE62FD"/>
    <w:rsid w:val="00DE74CF"/>
    <w:rsid w:val="00DE7B80"/>
    <w:rsid w:val="00DF2968"/>
    <w:rsid w:val="00DF2BF5"/>
    <w:rsid w:val="00DF47CE"/>
    <w:rsid w:val="00DF74C6"/>
    <w:rsid w:val="00E039BD"/>
    <w:rsid w:val="00E05245"/>
    <w:rsid w:val="00E06526"/>
    <w:rsid w:val="00E07268"/>
    <w:rsid w:val="00E11CED"/>
    <w:rsid w:val="00E1404F"/>
    <w:rsid w:val="00E14E60"/>
    <w:rsid w:val="00E14F3C"/>
    <w:rsid w:val="00E16F67"/>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54"/>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53C1"/>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3B87"/>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4E4B"/>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1606"/>
    <w:rsid w:val="00F1411E"/>
    <w:rsid w:val="00F14FC2"/>
    <w:rsid w:val="00F16DB7"/>
    <w:rsid w:val="00F200E4"/>
    <w:rsid w:val="00F20F45"/>
    <w:rsid w:val="00F21458"/>
    <w:rsid w:val="00F225AB"/>
    <w:rsid w:val="00F22FB8"/>
    <w:rsid w:val="00F2339B"/>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45C"/>
    <w:rsid w:val="00F71845"/>
    <w:rsid w:val="00F74AA8"/>
    <w:rsid w:val="00F74D09"/>
    <w:rsid w:val="00F75643"/>
    <w:rsid w:val="00F75C41"/>
    <w:rsid w:val="00F765F8"/>
    <w:rsid w:val="00F776A2"/>
    <w:rsid w:val="00F81824"/>
    <w:rsid w:val="00F81EE2"/>
    <w:rsid w:val="00F84853"/>
    <w:rsid w:val="00F84CA2"/>
    <w:rsid w:val="00F8657A"/>
    <w:rsid w:val="00F870B8"/>
    <w:rsid w:val="00F8787B"/>
    <w:rsid w:val="00F90FC5"/>
    <w:rsid w:val="00F91492"/>
    <w:rsid w:val="00F91BD9"/>
    <w:rsid w:val="00F91D8D"/>
    <w:rsid w:val="00F93621"/>
    <w:rsid w:val="00F950D2"/>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2C"/>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D1A9F"/>
    <w:rsid w:val="01253244"/>
    <w:rsid w:val="01402479"/>
    <w:rsid w:val="0176597C"/>
    <w:rsid w:val="01887FB7"/>
    <w:rsid w:val="019C06C5"/>
    <w:rsid w:val="01BB6A9E"/>
    <w:rsid w:val="01FB5197"/>
    <w:rsid w:val="02336629"/>
    <w:rsid w:val="02A03B02"/>
    <w:rsid w:val="030D1A9C"/>
    <w:rsid w:val="03563CB7"/>
    <w:rsid w:val="0373620A"/>
    <w:rsid w:val="03795FFF"/>
    <w:rsid w:val="03AE3C3C"/>
    <w:rsid w:val="04605003"/>
    <w:rsid w:val="057A6005"/>
    <w:rsid w:val="065F6579"/>
    <w:rsid w:val="071641BE"/>
    <w:rsid w:val="07640484"/>
    <w:rsid w:val="07667F1E"/>
    <w:rsid w:val="07AD3E0A"/>
    <w:rsid w:val="07ED267B"/>
    <w:rsid w:val="07F3035C"/>
    <w:rsid w:val="0804772D"/>
    <w:rsid w:val="084B3E0F"/>
    <w:rsid w:val="08593765"/>
    <w:rsid w:val="08CC5303"/>
    <w:rsid w:val="09B55820"/>
    <w:rsid w:val="09C32207"/>
    <w:rsid w:val="0A1B4004"/>
    <w:rsid w:val="0A351CEE"/>
    <w:rsid w:val="0A5037AF"/>
    <w:rsid w:val="0AF65BAA"/>
    <w:rsid w:val="0AF82097"/>
    <w:rsid w:val="0B7B1FE3"/>
    <w:rsid w:val="0B927069"/>
    <w:rsid w:val="0BEE4DB2"/>
    <w:rsid w:val="0C0308E5"/>
    <w:rsid w:val="0C283358"/>
    <w:rsid w:val="0C2C7E90"/>
    <w:rsid w:val="0C607327"/>
    <w:rsid w:val="0C700C3A"/>
    <w:rsid w:val="0C774F97"/>
    <w:rsid w:val="0C8E2F36"/>
    <w:rsid w:val="0CB455EA"/>
    <w:rsid w:val="0CB46364"/>
    <w:rsid w:val="0D080DA0"/>
    <w:rsid w:val="0D2A599A"/>
    <w:rsid w:val="0D36577E"/>
    <w:rsid w:val="0D3C520E"/>
    <w:rsid w:val="0D463036"/>
    <w:rsid w:val="0D586D8E"/>
    <w:rsid w:val="0D6F717F"/>
    <w:rsid w:val="0DB24763"/>
    <w:rsid w:val="0DD34177"/>
    <w:rsid w:val="0E0C4F5A"/>
    <w:rsid w:val="0E231F18"/>
    <w:rsid w:val="0E5350C9"/>
    <w:rsid w:val="0E7D21D1"/>
    <w:rsid w:val="0E9B0511"/>
    <w:rsid w:val="0EC211BA"/>
    <w:rsid w:val="0F84395A"/>
    <w:rsid w:val="0F956559"/>
    <w:rsid w:val="100833DB"/>
    <w:rsid w:val="10340D9B"/>
    <w:rsid w:val="10420477"/>
    <w:rsid w:val="105A3B20"/>
    <w:rsid w:val="10994852"/>
    <w:rsid w:val="10BC116B"/>
    <w:rsid w:val="10EF26E1"/>
    <w:rsid w:val="111B0EDF"/>
    <w:rsid w:val="115C6415"/>
    <w:rsid w:val="11A93933"/>
    <w:rsid w:val="11D01DC3"/>
    <w:rsid w:val="1205600D"/>
    <w:rsid w:val="123D25DC"/>
    <w:rsid w:val="124B01F6"/>
    <w:rsid w:val="128640AD"/>
    <w:rsid w:val="13160650"/>
    <w:rsid w:val="13196AA8"/>
    <w:rsid w:val="132702E9"/>
    <w:rsid w:val="13272F7A"/>
    <w:rsid w:val="13363BFC"/>
    <w:rsid w:val="13964127"/>
    <w:rsid w:val="13D179D6"/>
    <w:rsid w:val="13DB5B12"/>
    <w:rsid w:val="1438123C"/>
    <w:rsid w:val="147D6BCA"/>
    <w:rsid w:val="14A10B0A"/>
    <w:rsid w:val="14C43F5F"/>
    <w:rsid w:val="151508C6"/>
    <w:rsid w:val="152D0832"/>
    <w:rsid w:val="153656F6"/>
    <w:rsid w:val="154B1909"/>
    <w:rsid w:val="154D51F7"/>
    <w:rsid w:val="16626DC4"/>
    <w:rsid w:val="167B6059"/>
    <w:rsid w:val="169225E4"/>
    <w:rsid w:val="1777655D"/>
    <w:rsid w:val="17A56B63"/>
    <w:rsid w:val="17FF60FB"/>
    <w:rsid w:val="18043880"/>
    <w:rsid w:val="18186D4D"/>
    <w:rsid w:val="18AD78BB"/>
    <w:rsid w:val="18E93451"/>
    <w:rsid w:val="194770EE"/>
    <w:rsid w:val="194F53F4"/>
    <w:rsid w:val="195B34BE"/>
    <w:rsid w:val="1963619F"/>
    <w:rsid w:val="196F6B6E"/>
    <w:rsid w:val="19AA0F80"/>
    <w:rsid w:val="19FF2DD8"/>
    <w:rsid w:val="1A7D5F37"/>
    <w:rsid w:val="1AB0799B"/>
    <w:rsid w:val="1AF22176"/>
    <w:rsid w:val="1AF30C8C"/>
    <w:rsid w:val="1B0F61D1"/>
    <w:rsid w:val="1B245475"/>
    <w:rsid w:val="1B343705"/>
    <w:rsid w:val="1B370F74"/>
    <w:rsid w:val="1B431A45"/>
    <w:rsid w:val="1B5230A6"/>
    <w:rsid w:val="1B6805D3"/>
    <w:rsid w:val="1B9238A2"/>
    <w:rsid w:val="1BCA303C"/>
    <w:rsid w:val="1C424981"/>
    <w:rsid w:val="1C932F2A"/>
    <w:rsid w:val="1CA14B3F"/>
    <w:rsid w:val="1CA53BD5"/>
    <w:rsid w:val="1CC540CD"/>
    <w:rsid w:val="1CF05E4D"/>
    <w:rsid w:val="1CF45533"/>
    <w:rsid w:val="1D7C2ABC"/>
    <w:rsid w:val="1D802DB7"/>
    <w:rsid w:val="1DCF66E8"/>
    <w:rsid w:val="1DF85109"/>
    <w:rsid w:val="1E0608F4"/>
    <w:rsid w:val="1E1A48E0"/>
    <w:rsid w:val="1E301A9B"/>
    <w:rsid w:val="1E522E75"/>
    <w:rsid w:val="1E7149EF"/>
    <w:rsid w:val="1E814B7D"/>
    <w:rsid w:val="1ECE3DCB"/>
    <w:rsid w:val="1F1D5072"/>
    <w:rsid w:val="1F2C09E5"/>
    <w:rsid w:val="1F462051"/>
    <w:rsid w:val="1F7074E6"/>
    <w:rsid w:val="1F7A235A"/>
    <w:rsid w:val="1FE87F35"/>
    <w:rsid w:val="20510493"/>
    <w:rsid w:val="205B3BE3"/>
    <w:rsid w:val="206770AC"/>
    <w:rsid w:val="20933631"/>
    <w:rsid w:val="20A83569"/>
    <w:rsid w:val="21103C9E"/>
    <w:rsid w:val="217F21D3"/>
    <w:rsid w:val="21863EAB"/>
    <w:rsid w:val="218E764D"/>
    <w:rsid w:val="21D32727"/>
    <w:rsid w:val="21ED2171"/>
    <w:rsid w:val="22185546"/>
    <w:rsid w:val="224B108F"/>
    <w:rsid w:val="22620BCB"/>
    <w:rsid w:val="22AB1EE3"/>
    <w:rsid w:val="22B045A3"/>
    <w:rsid w:val="23144BFB"/>
    <w:rsid w:val="231B23CF"/>
    <w:rsid w:val="234A46EB"/>
    <w:rsid w:val="241F0EFF"/>
    <w:rsid w:val="24217571"/>
    <w:rsid w:val="243A0C82"/>
    <w:rsid w:val="243D7865"/>
    <w:rsid w:val="24BE27CF"/>
    <w:rsid w:val="25127A59"/>
    <w:rsid w:val="251344AD"/>
    <w:rsid w:val="253F0A95"/>
    <w:rsid w:val="25443F81"/>
    <w:rsid w:val="257E14B8"/>
    <w:rsid w:val="25C963C1"/>
    <w:rsid w:val="263741ED"/>
    <w:rsid w:val="263B355B"/>
    <w:rsid w:val="26493FA9"/>
    <w:rsid w:val="264D0AF2"/>
    <w:rsid w:val="2658165F"/>
    <w:rsid w:val="26971677"/>
    <w:rsid w:val="26A12397"/>
    <w:rsid w:val="26A30712"/>
    <w:rsid w:val="26BC306A"/>
    <w:rsid w:val="26E70049"/>
    <w:rsid w:val="271656AD"/>
    <w:rsid w:val="27340F09"/>
    <w:rsid w:val="27391962"/>
    <w:rsid w:val="278D14FD"/>
    <w:rsid w:val="27D66129"/>
    <w:rsid w:val="27DF39CB"/>
    <w:rsid w:val="28001F59"/>
    <w:rsid w:val="284C63BD"/>
    <w:rsid w:val="28922C0C"/>
    <w:rsid w:val="28927837"/>
    <w:rsid w:val="28DC1847"/>
    <w:rsid w:val="28FC6193"/>
    <w:rsid w:val="29076F86"/>
    <w:rsid w:val="293200E2"/>
    <w:rsid w:val="298B3B0A"/>
    <w:rsid w:val="298D3C6C"/>
    <w:rsid w:val="29BD4CC1"/>
    <w:rsid w:val="29DD218D"/>
    <w:rsid w:val="29E2737D"/>
    <w:rsid w:val="2A14023E"/>
    <w:rsid w:val="2A3A0F4B"/>
    <w:rsid w:val="2A3C3FAD"/>
    <w:rsid w:val="2A571BF5"/>
    <w:rsid w:val="2A6146B0"/>
    <w:rsid w:val="2A9C1AAB"/>
    <w:rsid w:val="2B2D5C40"/>
    <w:rsid w:val="2B2F40A6"/>
    <w:rsid w:val="2BA07912"/>
    <w:rsid w:val="2BB07E21"/>
    <w:rsid w:val="2BE760C0"/>
    <w:rsid w:val="2C294129"/>
    <w:rsid w:val="2C3F422F"/>
    <w:rsid w:val="2CC664C0"/>
    <w:rsid w:val="2CE10D2D"/>
    <w:rsid w:val="2CF31A5D"/>
    <w:rsid w:val="2D1E5FD1"/>
    <w:rsid w:val="2D372553"/>
    <w:rsid w:val="2D780092"/>
    <w:rsid w:val="2D9964DB"/>
    <w:rsid w:val="2DB16695"/>
    <w:rsid w:val="2DD84580"/>
    <w:rsid w:val="2E036D54"/>
    <w:rsid w:val="2E2959A0"/>
    <w:rsid w:val="2E6C1C9D"/>
    <w:rsid w:val="2E775C36"/>
    <w:rsid w:val="2EB105B8"/>
    <w:rsid w:val="2EC00F63"/>
    <w:rsid w:val="2EC17105"/>
    <w:rsid w:val="2EFB0AE7"/>
    <w:rsid w:val="2F0866AD"/>
    <w:rsid w:val="2F456BFA"/>
    <w:rsid w:val="2F752DA8"/>
    <w:rsid w:val="2F8C0FDE"/>
    <w:rsid w:val="3051435C"/>
    <w:rsid w:val="305F1689"/>
    <w:rsid w:val="30730F80"/>
    <w:rsid w:val="310B520B"/>
    <w:rsid w:val="310E0365"/>
    <w:rsid w:val="317B4712"/>
    <w:rsid w:val="31BF0F45"/>
    <w:rsid w:val="31CA05C4"/>
    <w:rsid w:val="31E719E8"/>
    <w:rsid w:val="31F153B0"/>
    <w:rsid w:val="32006367"/>
    <w:rsid w:val="324B5DD9"/>
    <w:rsid w:val="32676A87"/>
    <w:rsid w:val="32926C10"/>
    <w:rsid w:val="32A12271"/>
    <w:rsid w:val="32E825DF"/>
    <w:rsid w:val="32EC1CAD"/>
    <w:rsid w:val="332130EA"/>
    <w:rsid w:val="33287DA9"/>
    <w:rsid w:val="33420F30"/>
    <w:rsid w:val="3365752F"/>
    <w:rsid w:val="338514E4"/>
    <w:rsid w:val="34285A89"/>
    <w:rsid w:val="3496155A"/>
    <w:rsid w:val="34BD3AE7"/>
    <w:rsid w:val="34C4261A"/>
    <w:rsid w:val="34CF1F01"/>
    <w:rsid w:val="34DE7FAD"/>
    <w:rsid w:val="34E67615"/>
    <w:rsid w:val="34F02F77"/>
    <w:rsid w:val="35A86C4A"/>
    <w:rsid w:val="35E16FB1"/>
    <w:rsid w:val="36147A2D"/>
    <w:rsid w:val="363A6BDF"/>
    <w:rsid w:val="36454DCA"/>
    <w:rsid w:val="365C2DD8"/>
    <w:rsid w:val="36644727"/>
    <w:rsid w:val="36912C43"/>
    <w:rsid w:val="36954028"/>
    <w:rsid w:val="36BD2BA6"/>
    <w:rsid w:val="3706757D"/>
    <w:rsid w:val="371F4BBF"/>
    <w:rsid w:val="374A6DC6"/>
    <w:rsid w:val="37974803"/>
    <w:rsid w:val="38227DB2"/>
    <w:rsid w:val="38262F51"/>
    <w:rsid w:val="38457A48"/>
    <w:rsid w:val="38657695"/>
    <w:rsid w:val="38CA2A50"/>
    <w:rsid w:val="38D71FB7"/>
    <w:rsid w:val="39384E31"/>
    <w:rsid w:val="393A6315"/>
    <w:rsid w:val="395978B1"/>
    <w:rsid w:val="39804AD4"/>
    <w:rsid w:val="39924D42"/>
    <w:rsid w:val="39E4602D"/>
    <w:rsid w:val="3A1F1E8B"/>
    <w:rsid w:val="3A2E6A15"/>
    <w:rsid w:val="3A5A4B2C"/>
    <w:rsid w:val="3A5D6CD2"/>
    <w:rsid w:val="3A677886"/>
    <w:rsid w:val="3A975DCF"/>
    <w:rsid w:val="3AAE1AAD"/>
    <w:rsid w:val="3AD67F8A"/>
    <w:rsid w:val="3B615F60"/>
    <w:rsid w:val="3B740936"/>
    <w:rsid w:val="3BE05D81"/>
    <w:rsid w:val="3BE7297D"/>
    <w:rsid w:val="3BEE0FE1"/>
    <w:rsid w:val="3C11422C"/>
    <w:rsid w:val="3C170C74"/>
    <w:rsid w:val="3C5E75E0"/>
    <w:rsid w:val="3C8165CE"/>
    <w:rsid w:val="3CB215A2"/>
    <w:rsid w:val="3D3F6E1F"/>
    <w:rsid w:val="3D4C3459"/>
    <w:rsid w:val="3D782782"/>
    <w:rsid w:val="3D7D3613"/>
    <w:rsid w:val="3E817035"/>
    <w:rsid w:val="3E827FDF"/>
    <w:rsid w:val="3EEA07FE"/>
    <w:rsid w:val="3F0B5DBE"/>
    <w:rsid w:val="3F764E49"/>
    <w:rsid w:val="3F774D39"/>
    <w:rsid w:val="3F89533D"/>
    <w:rsid w:val="3FB02825"/>
    <w:rsid w:val="3FB4600E"/>
    <w:rsid w:val="40007176"/>
    <w:rsid w:val="400E2C48"/>
    <w:rsid w:val="402F1CE4"/>
    <w:rsid w:val="406A18BC"/>
    <w:rsid w:val="406D317E"/>
    <w:rsid w:val="407D78F4"/>
    <w:rsid w:val="40B24AE1"/>
    <w:rsid w:val="40B26CC4"/>
    <w:rsid w:val="40E515C4"/>
    <w:rsid w:val="41012074"/>
    <w:rsid w:val="412E232B"/>
    <w:rsid w:val="417967E7"/>
    <w:rsid w:val="417A4695"/>
    <w:rsid w:val="41840F2A"/>
    <w:rsid w:val="41D86517"/>
    <w:rsid w:val="41FF0962"/>
    <w:rsid w:val="42122241"/>
    <w:rsid w:val="42231838"/>
    <w:rsid w:val="422C5FFB"/>
    <w:rsid w:val="425C70B8"/>
    <w:rsid w:val="426C4112"/>
    <w:rsid w:val="428A5F2F"/>
    <w:rsid w:val="42C56C6E"/>
    <w:rsid w:val="43225EC0"/>
    <w:rsid w:val="43305B27"/>
    <w:rsid w:val="435F0420"/>
    <w:rsid w:val="438577C0"/>
    <w:rsid w:val="43B9112B"/>
    <w:rsid w:val="441753DC"/>
    <w:rsid w:val="443D2FA0"/>
    <w:rsid w:val="447078E5"/>
    <w:rsid w:val="449059BE"/>
    <w:rsid w:val="44D324F7"/>
    <w:rsid w:val="453838A0"/>
    <w:rsid w:val="45401A7D"/>
    <w:rsid w:val="45B77CA0"/>
    <w:rsid w:val="460A3F80"/>
    <w:rsid w:val="46433319"/>
    <w:rsid w:val="46693C23"/>
    <w:rsid w:val="466F11C7"/>
    <w:rsid w:val="46782CDA"/>
    <w:rsid w:val="467A51FD"/>
    <w:rsid w:val="46C63E9C"/>
    <w:rsid w:val="46EA1F82"/>
    <w:rsid w:val="46FA1386"/>
    <w:rsid w:val="47182221"/>
    <w:rsid w:val="47E37E31"/>
    <w:rsid w:val="47FB487A"/>
    <w:rsid w:val="485860F7"/>
    <w:rsid w:val="486D05B9"/>
    <w:rsid w:val="48712646"/>
    <w:rsid w:val="48A26623"/>
    <w:rsid w:val="48DD6368"/>
    <w:rsid w:val="490A1E9D"/>
    <w:rsid w:val="49182FFB"/>
    <w:rsid w:val="49524681"/>
    <w:rsid w:val="495B69C0"/>
    <w:rsid w:val="49604675"/>
    <w:rsid w:val="49660745"/>
    <w:rsid w:val="49AC27D4"/>
    <w:rsid w:val="49C244B9"/>
    <w:rsid w:val="4A163850"/>
    <w:rsid w:val="4A634A9C"/>
    <w:rsid w:val="4A7E41D7"/>
    <w:rsid w:val="4A9327EE"/>
    <w:rsid w:val="4AC870A9"/>
    <w:rsid w:val="4AE975FB"/>
    <w:rsid w:val="4B0709C0"/>
    <w:rsid w:val="4B3410B6"/>
    <w:rsid w:val="4B813785"/>
    <w:rsid w:val="4BFB5A47"/>
    <w:rsid w:val="4BFD7DFB"/>
    <w:rsid w:val="4C073A68"/>
    <w:rsid w:val="4C691B4C"/>
    <w:rsid w:val="4CAC1863"/>
    <w:rsid w:val="4CB37051"/>
    <w:rsid w:val="4D592024"/>
    <w:rsid w:val="4D7C5DF7"/>
    <w:rsid w:val="4D91320E"/>
    <w:rsid w:val="4DDB7B3F"/>
    <w:rsid w:val="4E09152F"/>
    <w:rsid w:val="4EB42803"/>
    <w:rsid w:val="4EC16787"/>
    <w:rsid w:val="4EFC3D4D"/>
    <w:rsid w:val="4F295AEE"/>
    <w:rsid w:val="4F6A7107"/>
    <w:rsid w:val="4F9904BD"/>
    <w:rsid w:val="4FFE4A87"/>
    <w:rsid w:val="50504D80"/>
    <w:rsid w:val="50590A5B"/>
    <w:rsid w:val="50B91907"/>
    <w:rsid w:val="51082D12"/>
    <w:rsid w:val="519D0D45"/>
    <w:rsid w:val="51F763CE"/>
    <w:rsid w:val="528155FE"/>
    <w:rsid w:val="52857FCD"/>
    <w:rsid w:val="52AC292C"/>
    <w:rsid w:val="52C76699"/>
    <w:rsid w:val="530A729F"/>
    <w:rsid w:val="5322752C"/>
    <w:rsid w:val="53921123"/>
    <w:rsid w:val="54210D44"/>
    <w:rsid w:val="542E4C55"/>
    <w:rsid w:val="54584E8E"/>
    <w:rsid w:val="545A4256"/>
    <w:rsid w:val="548F3E79"/>
    <w:rsid w:val="549B3A7D"/>
    <w:rsid w:val="549D2453"/>
    <w:rsid w:val="54A930AA"/>
    <w:rsid w:val="54CB182B"/>
    <w:rsid w:val="55120B47"/>
    <w:rsid w:val="555B2034"/>
    <w:rsid w:val="55B23B53"/>
    <w:rsid w:val="55DB0C9D"/>
    <w:rsid w:val="55F54632"/>
    <w:rsid w:val="568C672E"/>
    <w:rsid w:val="56B11614"/>
    <w:rsid w:val="56C75A82"/>
    <w:rsid w:val="570271BB"/>
    <w:rsid w:val="571F7091"/>
    <w:rsid w:val="57222665"/>
    <w:rsid w:val="572A6494"/>
    <w:rsid w:val="57521825"/>
    <w:rsid w:val="57770DF0"/>
    <w:rsid w:val="577826E6"/>
    <w:rsid w:val="577A05ED"/>
    <w:rsid w:val="58863015"/>
    <w:rsid w:val="58966822"/>
    <w:rsid w:val="58A17D66"/>
    <w:rsid w:val="58AA36C5"/>
    <w:rsid w:val="58B2640F"/>
    <w:rsid w:val="58CA6285"/>
    <w:rsid w:val="58D740C7"/>
    <w:rsid w:val="59093B37"/>
    <w:rsid w:val="59253B17"/>
    <w:rsid w:val="59276802"/>
    <w:rsid w:val="597E2795"/>
    <w:rsid w:val="59C95F43"/>
    <w:rsid w:val="59EE1099"/>
    <w:rsid w:val="5A026EF1"/>
    <w:rsid w:val="5A707549"/>
    <w:rsid w:val="5A815E0F"/>
    <w:rsid w:val="5AAE4299"/>
    <w:rsid w:val="5B4C42AD"/>
    <w:rsid w:val="5B6577C2"/>
    <w:rsid w:val="5BB90A3B"/>
    <w:rsid w:val="5BC201E5"/>
    <w:rsid w:val="5C116E3F"/>
    <w:rsid w:val="5C2A6531"/>
    <w:rsid w:val="5C462902"/>
    <w:rsid w:val="5C602E19"/>
    <w:rsid w:val="5CAD11D1"/>
    <w:rsid w:val="5D19444C"/>
    <w:rsid w:val="5D8F0F39"/>
    <w:rsid w:val="5DB13D15"/>
    <w:rsid w:val="5DB54D40"/>
    <w:rsid w:val="5DB82D6B"/>
    <w:rsid w:val="5E110B50"/>
    <w:rsid w:val="5E272E68"/>
    <w:rsid w:val="5E6121B6"/>
    <w:rsid w:val="5E7B07B6"/>
    <w:rsid w:val="5E81248C"/>
    <w:rsid w:val="5ED02362"/>
    <w:rsid w:val="5F0F4BA2"/>
    <w:rsid w:val="5F281F58"/>
    <w:rsid w:val="5F353888"/>
    <w:rsid w:val="5F633154"/>
    <w:rsid w:val="5F8B5401"/>
    <w:rsid w:val="5FF044F3"/>
    <w:rsid w:val="60160A07"/>
    <w:rsid w:val="605054C0"/>
    <w:rsid w:val="607B7A2E"/>
    <w:rsid w:val="60840213"/>
    <w:rsid w:val="60D82D4B"/>
    <w:rsid w:val="6154533C"/>
    <w:rsid w:val="61832EA9"/>
    <w:rsid w:val="618C505C"/>
    <w:rsid w:val="61941C99"/>
    <w:rsid w:val="6194358B"/>
    <w:rsid w:val="61AD3C17"/>
    <w:rsid w:val="61B22AAA"/>
    <w:rsid w:val="61B57AEA"/>
    <w:rsid w:val="62180D10"/>
    <w:rsid w:val="62524882"/>
    <w:rsid w:val="625D285D"/>
    <w:rsid w:val="62D30DA9"/>
    <w:rsid w:val="63544DA0"/>
    <w:rsid w:val="636E0DCD"/>
    <w:rsid w:val="63F12DEA"/>
    <w:rsid w:val="642D7060"/>
    <w:rsid w:val="645D0417"/>
    <w:rsid w:val="64720EAD"/>
    <w:rsid w:val="648705F6"/>
    <w:rsid w:val="64900237"/>
    <w:rsid w:val="649E7673"/>
    <w:rsid w:val="64A5252F"/>
    <w:rsid w:val="64D916EE"/>
    <w:rsid w:val="659702D3"/>
    <w:rsid w:val="65A04C05"/>
    <w:rsid w:val="65B672D2"/>
    <w:rsid w:val="66387DB8"/>
    <w:rsid w:val="66434A75"/>
    <w:rsid w:val="665F445B"/>
    <w:rsid w:val="6669585B"/>
    <w:rsid w:val="6685187D"/>
    <w:rsid w:val="668C77E3"/>
    <w:rsid w:val="66E23CD1"/>
    <w:rsid w:val="66E53E53"/>
    <w:rsid w:val="670C2F9D"/>
    <w:rsid w:val="675158D0"/>
    <w:rsid w:val="67D6227C"/>
    <w:rsid w:val="68143268"/>
    <w:rsid w:val="68293299"/>
    <w:rsid w:val="68692D77"/>
    <w:rsid w:val="6870653E"/>
    <w:rsid w:val="697A2A85"/>
    <w:rsid w:val="69C91993"/>
    <w:rsid w:val="69D91F6C"/>
    <w:rsid w:val="6A1B6DF0"/>
    <w:rsid w:val="6A3A5F32"/>
    <w:rsid w:val="6A5E238E"/>
    <w:rsid w:val="6B6650EA"/>
    <w:rsid w:val="6B816ECB"/>
    <w:rsid w:val="6B966005"/>
    <w:rsid w:val="6BA97CDA"/>
    <w:rsid w:val="6BB32772"/>
    <w:rsid w:val="6BFF526B"/>
    <w:rsid w:val="6C182D02"/>
    <w:rsid w:val="6C535F41"/>
    <w:rsid w:val="6C7E6089"/>
    <w:rsid w:val="6CB036DF"/>
    <w:rsid w:val="6CB4259E"/>
    <w:rsid w:val="6CD67DFE"/>
    <w:rsid w:val="6D2A291C"/>
    <w:rsid w:val="6D2A3814"/>
    <w:rsid w:val="6D3559A1"/>
    <w:rsid w:val="6DB51F02"/>
    <w:rsid w:val="6DBF3339"/>
    <w:rsid w:val="6DDB3F6D"/>
    <w:rsid w:val="6DDC4981"/>
    <w:rsid w:val="6DFF4A3E"/>
    <w:rsid w:val="6E1F40EF"/>
    <w:rsid w:val="6E4E0530"/>
    <w:rsid w:val="6EA44E24"/>
    <w:rsid w:val="6ED744EA"/>
    <w:rsid w:val="6EE40E94"/>
    <w:rsid w:val="6F2F210F"/>
    <w:rsid w:val="6F8A2BD3"/>
    <w:rsid w:val="6FF815EF"/>
    <w:rsid w:val="70242FB0"/>
    <w:rsid w:val="70276E0E"/>
    <w:rsid w:val="70644F43"/>
    <w:rsid w:val="70807F13"/>
    <w:rsid w:val="713003C1"/>
    <w:rsid w:val="717850DD"/>
    <w:rsid w:val="71CF3E9A"/>
    <w:rsid w:val="71D30734"/>
    <w:rsid w:val="71E84BF3"/>
    <w:rsid w:val="71F84775"/>
    <w:rsid w:val="7236673C"/>
    <w:rsid w:val="723C6764"/>
    <w:rsid w:val="724C5D8D"/>
    <w:rsid w:val="729A6E2C"/>
    <w:rsid w:val="7348148F"/>
    <w:rsid w:val="735A23F9"/>
    <w:rsid w:val="73796E58"/>
    <w:rsid w:val="73A829A7"/>
    <w:rsid w:val="73DA07E7"/>
    <w:rsid w:val="73E84DAA"/>
    <w:rsid w:val="743544D5"/>
    <w:rsid w:val="746D70D5"/>
    <w:rsid w:val="74970B04"/>
    <w:rsid w:val="75381CFD"/>
    <w:rsid w:val="75437ADC"/>
    <w:rsid w:val="75463CF0"/>
    <w:rsid w:val="7559369A"/>
    <w:rsid w:val="75BE1B0F"/>
    <w:rsid w:val="75E31EA6"/>
    <w:rsid w:val="76090251"/>
    <w:rsid w:val="762901CA"/>
    <w:rsid w:val="763A65F8"/>
    <w:rsid w:val="76835A1D"/>
    <w:rsid w:val="76C26DAB"/>
    <w:rsid w:val="76EB7264"/>
    <w:rsid w:val="771479EA"/>
    <w:rsid w:val="771A3E52"/>
    <w:rsid w:val="773A6202"/>
    <w:rsid w:val="775422E0"/>
    <w:rsid w:val="77811671"/>
    <w:rsid w:val="779C444B"/>
    <w:rsid w:val="77AD4519"/>
    <w:rsid w:val="77B63E43"/>
    <w:rsid w:val="77BE0E01"/>
    <w:rsid w:val="782157D3"/>
    <w:rsid w:val="78903F4B"/>
    <w:rsid w:val="78AA7075"/>
    <w:rsid w:val="78AC1F6A"/>
    <w:rsid w:val="78DD17A8"/>
    <w:rsid w:val="78F13B18"/>
    <w:rsid w:val="79254700"/>
    <w:rsid w:val="79606858"/>
    <w:rsid w:val="796D58DA"/>
    <w:rsid w:val="799633C4"/>
    <w:rsid w:val="79A11E5C"/>
    <w:rsid w:val="7A063F51"/>
    <w:rsid w:val="7A8D30E0"/>
    <w:rsid w:val="7AB8743D"/>
    <w:rsid w:val="7B9E3DFA"/>
    <w:rsid w:val="7BA22BE5"/>
    <w:rsid w:val="7BD37641"/>
    <w:rsid w:val="7BD4388A"/>
    <w:rsid w:val="7BEC1388"/>
    <w:rsid w:val="7BF30969"/>
    <w:rsid w:val="7C0018F7"/>
    <w:rsid w:val="7C415BC0"/>
    <w:rsid w:val="7C6C2C83"/>
    <w:rsid w:val="7CB572A5"/>
    <w:rsid w:val="7CE41AAE"/>
    <w:rsid w:val="7D034066"/>
    <w:rsid w:val="7D0A28E3"/>
    <w:rsid w:val="7D5230BD"/>
    <w:rsid w:val="7D625DA6"/>
    <w:rsid w:val="7D745ADC"/>
    <w:rsid w:val="7D8F5150"/>
    <w:rsid w:val="7E0B1F99"/>
    <w:rsid w:val="7E4D37B1"/>
    <w:rsid w:val="7E787E2C"/>
    <w:rsid w:val="7F0933D9"/>
    <w:rsid w:val="7F5926D5"/>
    <w:rsid w:val="7FB362DC"/>
    <w:rsid w:val="7FC34A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5"/>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6"/>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24"/>
    <w:unhideWhenUsed/>
    <w:qFormat/>
    <w:uiPriority w:val="9"/>
    <w:pPr>
      <w:keepNext/>
      <w:keepLines/>
      <w:spacing w:before="260" w:after="260" w:line="416" w:lineRule="auto"/>
      <w:outlineLvl w:val="2"/>
    </w:pPr>
    <w:rPr>
      <w:sz w:val="32"/>
      <w:szCs w:val="32"/>
    </w:rPr>
  </w:style>
  <w:style w:type="paragraph" w:styleId="5">
    <w:name w:val="heading 4"/>
    <w:basedOn w:val="4"/>
    <w:next w:val="1"/>
    <w:link w:val="55"/>
    <w:semiHidden/>
    <w:unhideWhenUsed/>
    <w:qFormat/>
    <w:uiPriority w:val="9"/>
    <w:pPr>
      <w:keepNext/>
      <w:keepLines/>
      <w:spacing w:before="40"/>
      <w:outlineLvl w:val="3"/>
    </w:pPr>
    <w:rPr>
      <w:rFonts w:asciiTheme="majorHAnsi" w:hAnsiTheme="majorHAnsi" w:eastAsiaTheme="majorEastAsia" w:cstheme="majorBidi"/>
      <w:i/>
      <w:color w:val="2E75B6" w:themeColor="accent1" w:themeShade="BF"/>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3"/>
    <w:semiHidden/>
    <w:unhideWhenUsed/>
    <w:qFormat/>
    <w:uiPriority w:val="99"/>
    <w:rPr>
      <w:rFonts w:ascii="宋体" w:eastAsia="宋体"/>
      <w:sz w:val="18"/>
      <w:szCs w:val="18"/>
    </w:rPr>
  </w:style>
  <w:style w:type="paragraph" w:styleId="8">
    <w:name w:val="annotation text"/>
    <w:basedOn w:val="1"/>
    <w:semiHidden/>
    <w:unhideWhenUsed/>
    <w:qFormat/>
    <w:uiPriority w:val="99"/>
    <w:pPr>
      <w:jc w:val="left"/>
    </w:pPr>
  </w:style>
  <w:style w:type="paragraph" w:styleId="9">
    <w:name w:val="Body Text"/>
    <w:basedOn w:val="1"/>
    <w:link w:val="27"/>
    <w:qFormat/>
    <w:uiPriority w:val="0"/>
    <w:pPr>
      <w:spacing w:after="120"/>
      <w:jc w:val="both"/>
    </w:pPr>
    <w:rPr>
      <w:rFonts w:eastAsia="MS Mincho"/>
      <w:lang w:val="zh-CN"/>
    </w:rPr>
  </w:style>
  <w:style w:type="paragraph" w:styleId="10">
    <w:name w:val="Body Text Indent"/>
    <w:basedOn w:val="1"/>
    <w:qFormat/>
    <w:uiPriority w:val="0"/>
    <w:pPr>
      <w:spacing w:after="120"/>
      <w:ind w:left="283"/>
    </w:pPr>
  </w:style>
  <w:style w:type="paragraph" w:styleId="11">
    <w:name w:val="List 2"/>
    <w:basedOn w:val="12"/>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2">
    <w:name w:val="List"/>
    <w:basedOn w:val="1"/>
    <w:semiHidden/>
    <w:unhideWhenUsed/>
    <w:qFormat/>
    <w:uiPriority w:val="99"/>
    <w:pPr>
      <w:ind w:left="200" w:hanging="200" w:hangingChars="200"/>
      <w:contextualSpacing/>
    </w:pPr>
  </w:style>
  <w:style w:type="paragraph" w:styleId="13">
    <w:name w:val="Date"/>
    <w:basedOn w:val="1"/>
    <w:next w:val="1"/>
    <w:link w:val="50"/>
    <w:semiHidden/>
    <w:unhideWhenUsed/>
    <w:qFormat/>
    <w:uiPriority w:val="99"/>
    <w:pPr>
      <w:ind w:left="100" w:leftChars="2500"/>
    </w:pPr>
  </w:style>
  <w:style w:type="paragraph" w:styleId="14">
    <w:name w:val="Balloon Text"/>
    <w:basedOn w:val="1"/>
    <w:link w:val="31"/>
    <w:semiHidden/>
    <w:unhideWhenUsed/>
    <w:qFormat/>
    <w:uiPriority w:val="99"/>
    <w:rPr>
      <w:sz w:val="18"/>
      <w:szCs w:val="18"/>
      <w:lang w:val="zh-CN"/>
    </w:rPr>
  </w:style>
  <w:style w:type="paragraph" w:styleId="15">
    <w:name w:val="footer"/>
    <w:basedOn w:val="1"/>
    <w:link w:val="30"/>
    <w:unhideWhenUsed/>
    <w:qFormat/>
    <w:uiPriority w:val="99"/>
    <w:pPr>
      <w:tabs>
        <w:tab w:val="center" w:pos="4153"/>
        <w:tab w:val="right" w:pos="8306"/>
      </w:tabs>
      <w:snapToGrid w:val="0"/>
    </w:pPr>
    <w:rPr>
      <w:sz w:val="18"/>
      <w:szCs w:val="18"/>
      <w:lang w:val="zh-CN"/>
    </w:rPr>
  </w:style>
  <w:style w:type="paragraph" w:styleId="16">
    <w:name w:val="header"/>
    <w:basedOn w:val="1"/>
    <w:link w:val="28"/>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qFormat/>
    <w:uiPriority w:val="22"/>
    <w:rPr>
      <w:b/>
    </w:rPr>
  </w:style>
  <w:style w:type="character" w:styleId="22">
    <w:name w:val="Hyperlink"/>
    <w:qFormat/>
    <w:uiPriority w:val="99"/>
    <w:rPr>
      <w:color w:val="0000FF"/>
      <w:u w:val="single"/>
    </w:rPr>
  </w:style>
  <w:style w:type="character" w:styleId="23">
    <w:name w:val="annotation reference"/>
    <w:semiHidden/>
    <w:qFormat/>
    <w:uiPriority w:val="0"/>
    <w:rPr>
      <w:sz w:val="16"/>
    </w:rPr>
  </w:style>
  <w:style w:type="character" w:customStyle="1" w:styleId="24">
    <w:name w:val="Heading 3 Char"/>
    <w:link w:val="4"/>
    <w:qFormat/>
    <w:uiPriority w:val="9"/>
    <w:rPr>
      <w:rFonts w:ascii="Times New Roman" w:hAnsi="Times New Roman" w:eastAsia="Times New Roman"/>
      <w:b/>
      <w:bCs/>
      <w:sz w:val="32"/>
      <w:szCs w:val="32"/>
      <w:lang w:eastAsia="en-US"/>
    </w:rPr>
  </w:style>
  <w:style w:type="character" w:customStyle="1" w:styleId="25">
    <w:name w:val="Heading 1 Char"/>
    <w:link w:val="2"/>
    <w:qFormat/>
    <w:uiPriority w:val="0"/>
    <w:rPr>
      <w:rFonts w:ascii="Helvetica" w:hAnsi="Helvetica" w:eastAsia="MS Mincho" w:cs="Times New Roman"/>
      <w:b/>
      <w:bCs/>
      <w:kern w:val="32"/>
      <w:sz w:val="28"/>
      <w:szCs w:val="32"/>
      <w:lang w:val="zh-CN" w:eastAsia="en-US"/>
    </w:rPr>
  </w:style>
  <w:style w:type="character" w:customStyle="1" w:styleId="26">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7">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8">
    <w:name w:val="Header Char"/>
    <w:link w:val="16"/>
    <w:qFormat/>
    <w:uiPriority w:val="0"/>
    <w:rPr>
      <w:rFonts w:ascii="Arial" w:hAnsi="Arial" w:eastAsia="MS Mincho" w:cs="Times New Roman"/>
      <w:b/>
      <w:kern w:val="0"/>
      <w:sz w:val="20"/>
      <w:szCs w:val="24"/>
      <w:lang w:val="zh-CN" w:eastAsia="en-US"/>
    </w:rPr>
  </w:style>
  <w:style w:type="paragraph" w:customStyle="1" w:styleId="29">
    <w:name w:val="Paragraphe de liste"/>
    <w:basedOn w:val="1"/>
    <w:qFormat/>
    <w:uiPriority w:val="34"/>
    <w:pPr>
      <w:ind w:left="720"/>
    </w:pPr>
    <w:rPr>
      <w:rFonts w:eastAsia="宋体"/>
      <w:sz w:val="24"/>
      <w:lang w:val="fr-FR" w:eastAsia="zh-CN"/>
    </w:rPr>
  </w:style>
  <w:style w:type="character" w:customStyle="1" w:styleId="30">
    <w:name w:val="Footer Char"/>
    <w:link w:val="15"/>
    <w:qFormat/>
    <w:uiPriority w:val="99"/>
    <w:rPr>
      <w:rFonts w:ascii="Times New Roman" w:hAnsi="Times New Roman" w:eastAsia="Times New Roman" w:cs="Times New Roman"/>
      <w:kern w:val="0"/>
      <w:sz w:val="18"/>
      <w:szCs w:val="18"/>
      <w:lang w:eastAsia="en-US"/>
    </w:rPr>
  </w:style>
  <w:style w:type="character" w:customStyle="1" w:styleId="31">
    <w:name w:val="Balloon Text Char"/>
    <w:link w:val="14"/>
    <w:semiHidden/>
    <w:qFormat/>
    <w:uiPriority w:val="99"/>
    <w:rPr>
      <w:rFonts w:ascii="Times New Roman" w:hAnsi="Times New Roman" w:eastAsia="Times New Roman" w:cs="Times New Roman"/>
      <w:kern w:val="0"/>
      <w:sz w:val="18"/>
      <w:szCs w:val="18"/>
      <w:lang w:eastAsia="en-US"/>
    </w:rPr>
  </w:style>
  <w:style w:type="paragraph" w:styleId="32">
    <w:name w:val="List Paragraph"/>
    <w:basedOn w:val="1"/>
    <w:link w:val="48"/>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3">
    <w:name w:val="Document Map Char"/>
    <w:link w:val="7"/>
    <w:semiHidden/>
    <w:qFormat/>
    <w:uiPriority w:val="99"/>
    <w:rPr>
      <w:rFonts w:ascii="宋体" w:hAnsi="Times New Roman"/>
      <w:sz w:val="18"/>
      <w:szCs w:val="18"/>
      <w:lang w:eastAsia="en-US"/>
    </w:rPr>
  </w:style>
  <w:style w:type="paragraph" w:customStyle="1" w:styleId="34">
    <w:name w:val="B1"/>
    <w:basedOn w:val="12"/>
    <w:link w:val="35"/>
    <w:qFormat/>
    <w:uiPriority w:val="0"/>
    <w:pPr>
      <w:spacing w:after="180"/>
      <w:ind w:left="568" w:hanging="284" w:firstLineChars="0"/>
      <w:contextualSpacing w:val="0"/>
    </w:pPr>
    <w:rPr>
      <w:rFonts w:eastAsia="宋体"/>
      <w:szCs w:val="20"/>
      <w:lang w:val="en-GB"/>
    </w:rPr>
  </w:style>
  <w:style w:type="character" w:customStyle="1" w:styleId="35">
    <w:name w:val="B1 (文字)"/>
    <w:link w:val="34"/>
    <w:qFormat/>
    <w:locked/>
    <w:uiPriority w:val="0"/>
    <w:rPr>
      <w:rFonts w:ascii="Times New Roman" w:hAnsi="Times New Roman"/>
      <w:lang w:val="en-GB" w:eastAsia="en-US"/>
    </w:rPr>
  </w:style>
  <w:style w:type="character" w:customStyle="1" w:styleId="36">
    <w:name w:val="B1 Char1"/>
    <w:qFormat/>
    <w:uiPriority w:val="0"/>
    <w:rPr>
      <w:lang w:val="en-GB" w:eastAsia="en-US"/>
    </w:rPr>
  </w:style>
  <w:style w:type="paragraph" w:customStyle="1" w:styleId="37">
    <w:name w:val="TAH"/>
    <w:basedOn w:val="38"/>
    <w:link w:val="43"/>
    <w:qFormat/>
    <w:uiPriority w:val="0"/>
    <w:rPr>
      <w:b/>
    </w:rPr>
  </w:style>
  <w:style w:type="paragraph" w:customStyle="1" w:styleId="38">
    <w:name w:val="TAC"/>
    <w:basedOn w:val="39"/>
    <w:link w:val="42"/>
    <w:qFormat/>
    <w:uiPriority w:val="0"/>
    <w:pPr>
      <w:keepNext/>
      <w:keepLines/>
      <w:jc w:val="center"/>
    </w:pPr>
    <w:rPr>
      <w:rFonts w:ascii="Arial" w:hAnsi="Arial" w:eastAsia="宋体"/>
      <w:sz w:val="18"/>
      <w:szCs w:val="20"/>
      <w:lang w:val="en-GB" w:eastAsia="zh-CN"/>
    </w:rPr>
  </w:style>
  <w:style w:type="paragraph" w:customStyle="1" w:styleId="39">
    <w:name w:val="TAL"/>
    <w:basedOn w:val="1"/>
    <w:link w:val="52"/>
    <w:qFormat/>
    <w:uiPriority w:val="0"/>
    <w:pPr>
      <w:keepNext/>
      <w:keepLines/>
    </w:pPr>
    <w:rPr>
      <w:rFonts w:ascii="Arial" w:hAnsi="Arial" w:eastAsia="宋体"/>
      <w:sz w:val="18"/>
      <w:szCs w:val="20"/>
      <w:lang w:val="en-GB"/>
    </w:rPr>
  </w:style>
  <w:style w:type="paragraph" w:customStyle="1" w:styleId="40">
    <w:name w:val="TH"/>
    <w:basedOn w:val="1"/>
    <w:link w:val="41"/>
    <w:qFormat/>
    <w:uiPriority w:val="0"/>
    <w:pPr>
      <w:keepNext/>
      <w:keepLines/>
      <w:spacing w:before="60" w:after="180"/>
      <w:jc w:val="center"/>
    </w:pPr>
    <w:rPr>
      <w:rFonts w:ascii="Arial" w:hAnsi="Arial" w:eastAsia="宋体"/>
      <w:b/>
      <w:szCs w:val="20"/>
      <w:lang w:val="en-GB" w:eastAsia="zh-CN"/>
    </w:rPr>
  </w:style>
  <w:style w:type="character" w:customStyle="1" w:styleId="41">
    <w:name w:val="TH Char"/>
    <w:link w:val="40"/>
    <w:qFormat/>
    <w:uiPriority w:val="0"/>
    <w:rPr>
      <w:rFonts w:ascii="Arial" w:hAnsi="Arial" w:eastAsia="宋体"/>
      <w:b/>
      <w:lang w:val="en-GB" w:eastAsia="zh-CN"/>
    </w:rPr>
  </w:style>
  <w:style w:type="character" w:customStyle="1" w:styleId="42">
    <w:name w:val="TAC Char"/>
    <w:link w:val="38"/>
    <w:qFormat/>
    <w:uiPriority w:val="0"/>
    <w:rPr>
      <w:rFonts w:ascii="Arial" w:hAnsi="Arial" w:eastAsia="宋体"/>
      <w:sz w:val="18"/>
      <w:lang w:val="en-GB" w:eastAsia="zh-CN"/>
    </w:rPr>
  </w:style>
  <w:style w:type="character" w:customStyle="1" w:styleId="43">
    <w:name w:val="TAH Car"/>
    <w:link w:val="37"/>
    <w:qFormat/>
    <w:uiPriority w:val="0"/>
    <w:rPr>
      <w:rFonts w:ascii="Arial" w:hAnsi="Arial" w:eastAsia="宋体"/>
      <w:b/>
      <w:sz w:val="18"/>
      <w:lang w:val="en-GB" w:eastAsia="zh-CN"/>
    </w:rPr>
  </w:style>
  <w:style w:type="paragraph" w:customStyle="1" w:styleId="4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5">
    <w:name w:val="TAR"/>
    <w:basedOn w:val="39"/>
    <w:qFormat/>
    <w:uiPriority w:val="0"/>
    <w:pPr>
      <w:keepNext/>
      <w:keepLines/>
      <w:jc w:val="right"/>
    </w:pPr>
    <w:rPr>
      <w:rFonts w:ascii="Arial" w:hAnsi="Arial" w:eastAsia="宋体"/>
      <w:sz w:val="18"/>
      <w:szCs w:val="20"/>
      <w:lang w:val="en-GB"/>
    </w:rPr>
  </w:style>
  <w:style w:type="paragraph" w:customStyle="1" w:styleId="46">
    <w:name w:val="RAN4 proposal"/>
    <w:basedOn w:val="6"/>
    <w:next w:val="1"/>
    <w:link w:val="47"/>
    <w:qFormat/>
    <w:uiPriority w:val="0"/>
    <w:pPr>
      <w:numPr>
        <w:ilvl w:val="0"/>
        <w:numId w:val="2"/>
      </w:numPr>
      <w:spacing w:after="200"/>
      <w:ind w:left="0" w:firstLine="0"/>
    </w:pPr>
    <w:rPr>
      <w:rFonts w:ascii="Times New Roman" w:hAnsi="Times New Roman" w:eastAsia="宋体"/>
      <w:b/>
      <w:iCs/>
      <w:szCs w:val="18"/>
    </w:rPr>
  </w:style>
  <w:style w:type="character" w:customStyle="1" w:styleId="47">
    <w:name w:val="RAN4 proposal Char"/>
    <w:link w:val="46"/>
    <w:qFormat/>
    <w:uiPriority w:val="0"/>
    <w:rPr>
      <w:rFonts w:ascii="Times New Roman" w:hAnsi="Times New Roman"/>
      <w:b/>
      <w:iCs/>
      <w:szCs w:val="18"/>
      <w:lang w:eastAsia="en-US"/>
    </w:rPr>
  </w:style>
  <w:style w:type="character" w:customStyle="1" w:styleId="48">
    <w:name w:val="List Paragraph Char"/>
    <w:link w:val="32"/>
    <w:qFormat/>
    <w:uiPriority w:val="34"/>
    <w:rPr>
      <w:kern w:val="2"/>
      <w:sz w:val="21"/>
      <w:szCs w:val="22"/>
    </w:rPr>
  </w:style>
  <w:style w:type="character" w:customStyle="1" w:styleId="49">
    <w:name w:val="ZGSM"/>
    <w:qFormat/>
    <w:uiPriority w:val="0"/>
  </w:style>
  <w:style w:type="character" w:customStyle="1" w:styleId="50">
    <w:name w:val="Date Char"/>
    <w:link w:val="13"/>
    <w:semiHidden/>
    <w:qFormat/>
    <w:uiPriority w:val="99"/>
    <w:rPr>
      <w:rFonts w:ascii="Times New Roman" w:hAnsi="Times New Roman" w:eastAsia="Times New Roman"/>
      <w:szCs w:val="24"/>
      <w:lang w:eastAsia="en-US"/>
    </w:rPr>
  </w:style>
  <w:style w:type="paragraph" w:customStyle="1" w:styleId="51">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2">
    <w:name w:val="TAL Char"/>
    <w:link w:val="39"/>
    <w:qFormat/>
    <w:uiPriority w:val="0"/>
    <w:rPr>
      <w:rFonts w:ascii="Arial" w:hAnsi="Arial"/>
      <w:sz w:val="18"/>
      <w:lang w:val="en-GB" w:eastAsia="en-US"/>
    </w:rPr>
  </w:style>
  <w:style w:type="character" w:customStyle="1" w:styleId="53">
    <w:name w:val="TAL Car"/>
    <w:qFormat/>
    <w:uiPriority w:val="0"/>
    <w:rPr>
      <w:rFonts w:ascii="Arial" w:hAnsi="Arial" w:eastAsia="Times New Roman" w:cs="Times New Roman"/>
      <w:kern w:val="0"/>
      <w:sz w:val="18"/>
      <w:szCs w:val="20"/>
      <w:lang w:val="en-GB" w:eastAsia="ko-KR"/>
    </w:rPr>
  </w:style>
  <w:style w:type="paragraph" w:customStyle="1" w:styleId="54">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5">
    <w:name w:val="Heading 4 Char"/>
    <w:basedOn w:val="20"/>
    <w:link w:val="5"/>
    <w:semiHidden/>
    <w:qFormat/>
    <w:uiPriority w:val="9"/>
    <w:rPr>
      <w:rFonts w:asciiTheme="majorHAnsi" w:hAnsiTheme="majorHAnsi" w:eastAsiaTheme="majorEastAsia" w:cstheme="majorBidi"/>
      <w:i/>
      <w:iCs/>
      <w:color w:val="2E75B6" w:themeColor="accent1" w:themeShade="BF"/>
      <w:szCs w:val="24"/>
      <w:lang w:eastAsia="en-US"/>
    </w:rPr>
  </w:style>
  <w:style w:type="paragraph" w:customStyle="1" w:styleId="56">
    <w:name w:val="TAN"/>
    <w:basedOn w:val="39"/>
    <w:qFormat/>
    <w:uiPriority w:val="0"/>
    <w:pPr>
      <w:ind w:left="851" w:hanging="851"/>
    </w:pPr>
  </w:style>
  <w:style w:type="paragraph" w:customStyle="1" w:styleId="57">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8">
    <w:name w:val="TableText"/>
    <w:basedOn w:val="10"/>
    <w:qFormat/>
    <w:uiPriority w:val="0"/>
    <w:pPr>
      <w:keepNext/>
      <w:keepLines/>
      <w:spacing w:after="180"/>
      <w:ind w:left="0"/>
      <w:jc w:val="center"/>
    </w:pPr>
    <w:rPr>
      <w:rFonts w:eastAsia="Malgun Gothic"/>
      <w:snapToGrid w:val="0"/>
      <w:kern w:val="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872</Words>
  <Characters>4977</Characters>
  <Lines>41</Lines>
  <Paragraphs>11</Paragraphs>
  <TotalTime>3</TotalTime>
  <ScaleCrop>false</ScaleCrop>
  <LinksUpToDate>false</LinksUpToDate>
  <CharactersWithSpaces>5838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2022-07-29T11:37:00Z</dcterms:created>
  <dc:creator>Aijun CAO</dc:creator>
  <cp:lastModifiedBy>ZTE</cp:lastModifiedBy>
  <cp:lastPrinted>2015-02-02T11:17:00Z</cp:lastPrinted>
  <dcterms:modified xsi:type="dcterms:W3CDTF">2025-05-09T02:34:51Z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ED2C7184E0854B85A12F50CF8764DEA2</vt:lpwstr>
  </property>
  <property fmtid="{D5CDD505-2E9C-101B-9397-08002B2CF9AE}" pid="4" name="KSOTemplateDocerSaveRecord">
    <vt:lpwstr>eyJoZGlkIjoiYTg3ZTM5ZTlmYzg2NzU3MTgyZDgxNmQyZDdjZGE4ODkifQ==</vt:lpwstr>
  </property>
</Properties>
</file>